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DBB9E" w14:textId="77777777" w:rsidR="00C3144A" w:rsidRPr="00C3144A" w:rsidRDefault="00C3144A" w:rsidP="00C3144A">
      <w:pPr>
        <w:pStyle w:val="BodyText"/>
        <w:spacing w:line="360" w:lineRule="auto"/>
        <w:jc w:val="both"/>
        <w:rPr>
          <w:b/>
          <w:bCs/>
          <w:sz w:val="20"/>
          <w:szCs w:val="20"/>
        </w:rPr>
      </w:pPr>
      <w:r w:rsidRPr="00C3144A">
        <w:rPr>
          <w:b/>
          <w:bCs/>
          <w:sz w:val="20"/>
          <w:szCs w:val="20"/>
        </w:rPr>
        <w:t>Case Report</w:t>
      </w:r>
    </w:p>
    <w:p w14:paraId="49C358E5" w14:textId="77777777" w:rsidR="00C3144A" w:rsidRPr="00C3144A" w:rsidRDefault="00C3144A" w:rsidP="00C3144A">
      <w:pPr>
        <w:pStyle w:val="BodyText"/>
        <w:spacing w:line="360" w:lineRule="auto"/>
        <w:jc w:val="both"/>
        <w:rPr>
          <w:sz w:val="20"/>
          <w:szCs w:val="20"/>
        </w:rPr>
      </w:pPr>
    </w:p>
    <w:p w14:paraId="393690FE" w14:textId="7FF1198D" w:rsidR="00940546" w:rsidRDefault="00C3144A" w:rsidP="00C3144A">
      <w:pPr>
        <w:pStyle w:val="BodyText"/>
        <w:spacing w:line="360" w:lineRule="auto"/>
        <w:jc w:val="both"/>
        <w:rPr>
          <w:b/>
          <w:bCs/>
          <w:sz w:val="30"/>
          <w:szCs w:val="30"/>
        </w:rPr>
      </w:pPr>
      <w:r w:rsidRPr="00C3144A">
        <w:rPr>
          <w:b/>
          <w:bCs/>
          <w:sz w:val="30"/>
          <w:szCs w:val="30"/>
        </w:rPr>
        <w:t xml:space="preserve">Post Anti </w:t>
      </w:r>
      <w:r w:rsidR="002F028F">
        <w:rPr>
          <w:b/>
          <w:bCs/>
          <w:sz w:val="30"/>
          <w:szCs w:val="30"/>
        </w:rPr>
        <w:t>SARS-CoV2</w:t>
      </w:r>
      <w:r w:rsidRPr="00C3144A">
        <w:rPr>
          <w:b/>
          <w:bCs/>
          <w:sz w:val="30"/>
          <w:szCs w:val="30"/>
        </w:rPr>
        <w:t xml:space="preserve"> Vaccination Guillain Barr</w:t>
      </w:r>
      <w:r w:rsidR="002F028F">
        <w:rPr>
          <w:b/>
          <w:bCs/>
          <w:sz w:val="30"/>
          <w:szCs w:val="30"/>
        </w:rPr>
        <w:t>e</w:t>
      </w:r>
      <w:r w:rsidRPr="00C3144A">
        <w:rPr>
          <w:b/>
          <w:bCs/>
          <w:sz w:val="30"/>
          <w:szCs w:val="30"/>
        </w:rPr>
        <w:t xml:space="preserve"> Syndrome: A Case Report and Literature Review</w:t>
      </w:r>
    </w:p>
    <w:p w14:paraId="7F93B2B4" w14:textId="1D66C26A" w:rsidR="00A23025" w:rsidRDefault="00A23025" w:rsidP="00C3144A">
      <w:pPr>
        <w:pStyle w:val="BodyText"/>
        <w:spacing w:line="360" w:lineRule="auto"/>
        <w:jc w:val="both"/>
        <w:rPr>
          <w:b/>
          <w:bCs/>
        </w:rPr>
      </w:pPr>
      <w:proofErr w:type="spellStart"/>
      <w:r w:rsidRPr="00A23025">
        <w:rPr>
          <w:b/>
          <w:bCs/>
        </w:rPr>
        <w:t>Giorgia</w:t>
      </w:r>
      <w:proofErr w:type="spellEnd"/>
      <w:r>
        <w:rPr>
          <w:b/>
          <w:bCs/>
        </w:rPr>
        <w:t xml:space="preserve"> </w:t>
      </w:r>
      <w:proofErr w:type="spellStart"/>
      <w:r w:rsidRPr="00A23025">
        <w:rPr>
          <w:b/>
          <w:bCs/>
        </w:rPr>
        <w:t>Sivori</w:t>
      </w:r>
      <w:proofErr w:type="spellEnd"/>
      <w:r w:rsidRPr="00A23025">
        <w:rPr>
          <w:b/>
          <w:bCs/>
          <w:vertAlign w:val="superscript"/>
        </w:rPr>
        <w:t>*</w:t>
      </w:r>
      <w:r w:rsidRPr="00A23025">
        <w:rPr>
          <w:b/>
          <w:bCs/>
        </w:rPr>
        <w:t xml:space="preserve">, Alessandro </w:t>
      </w:r>
      <w:proofErr w:type="spellStart"/>
      <w:r w:rsidRPr="00A23025">
        <w:rPr>
          <w:b/>
          <w:bCs/>
        </w:rPr>
        <w:t>Beronio</w:t>
      </w:r>
      <w:proofErr w:type="spellEnd"/>
      <w:r w:rsidRPr="00A23025">
        <w:rPr>
          <w:b/>
          <w:bCs/>
        </w:rPr>
        <w:t xml:space="preserve"> and Giuseppe </w:t>
      </w:r>
      <w:proofErr w:type="spellStart"/>
      <w:r w:rsidRPr="00A23025">
        <w:rPr>
          <w:b/>
          <w:bCs/>
        </w:rPr>
        <w:t>Trivelli</w:t>
      </w:r>
      <w:proofErr w:type="spellEnd"/>
    </w:p>
    <w:p w14:paraId="58284EE0" w14:textId="77777777" w:rsidR="00A23025" w:rsidRDefault="00A23025" w:rsidP="00C3144A">
      <w:pPr>
        <w:pStyle w:val="BodyText"/>
        <w:spacing w:line="360" w:lineRule="auto"/>
        <w:jc w:val="both"/>
        <w:rPr>
          <w:b/>
          <w:bCs/>
          <w:sz w:val="20"/>
          <w:szCs w:val="20"/>
        </w:rPr>
      </w:pPr>
    </w:p>
    <w:p w14:paraId="32F8DA17" w14:textId="0A3D2A96" w:rsidR="00A23025" w:rsidRDefault="00A23025" w:rsidP="00C3144A">
      <w:pPr>
        <w:pStyle w:val="BodyText"/>
        <w:spacing w:line="360" w:lineRule="auto"/>
        <w:jc w:val="both"/>
        <w:rPr>
          <w:sz w:val="20"/>
          <w:szCs w:val="20"/>
        </w:rPr>
      </w:pPr>
      <w:r w:rsidRPr="00A23025">
        <w:rPr>
          <w:sz w:val="20"/>
          <w:szCs w:val="20"/>
        </w:rPr>
        <w:t xml:space="preserve">Neurological Department ASL 4 </w:t>
      </w:r>
      <w:proofErr w:type="spellStart"/>
      <w:r w:rsidRPr="00A23025">
        <w:rPr>
          <w:sz w:val="20"/>
          <w:szCs w:val="20"/>
        </w:rPr>
        <w:t>Chiavarese</w:t>
      </w:r>
      <w:proofErr w:type="spellEnd"/>
      <w:r w:rsidRPr="00A23025">
        <w:rPr>
          <w:sz w:val="20"/>
          <w:szCs w:val="20"/>
        </w:rPr>
        <w:t xml:space="preserve"> Liguria, Italy</w:t>
      </w:r>
    </w:p>
    <w:p w14:paraId="67977A4E" w14:textId="393BFCEB" w:rsidR="00A23025" w:rsidRDefault="00A23025" w:rsidP="00C3144A">
      <w:pPr>
        <w:pStyle w:val="BodyText"/>
        <w:spacing w:line="360" w:lineRule="auto"/>
        <w:jc w:val="both"/>
        <w:rPr>
          <w:sz w:val="20"/>
          <w:szCs w:val="20"/>
        </w:rPr>
      </w:pPr>
    </w:p>
    <w:p w14:paraId="4D62A381" w14:textId="17EE3852" w:rsidR="00A23025" w:rsidRDefault="00A23025" w:rsidP="00C3144A">
      <w:pPr>
        <w:pStyle w:val="BodyText"/>
        <w:spacing w:line="360" w:lineRule="auto"/>
        <w:jc w:val="both"/>
        <w:rPr>
          <w:sz w:val="20"/>
          <w:szCs w:val="20"/>
        </w:rPr>
      </w:pPr>
      <w:r w:rsidRPr="00A23025">
        <w:rPr>
          <w:b/>
          <w:bCs/>
          <w:sz w:val="20"/>
          <w:szCs w:val="20"/>
          <w:vertAlign w:val="superscript"/>
        </w:rPr>
        <w:t>*</w:t>
      </w:r>
      <w:r w:rsidRPr="00A23025">
        <w:rPr>
          <w:b/>
          <w:bCs/>
          <w:sz w:val="20"/>
          <w:szCs w:val="20"/>
        </w:rPr>
        <w:t>Corresponding author:</w:t>
      </w:r>
      <w:r>
        <w:rPr>
          <w:b/>
          <w:bCs/>
          <w:sz w:val="20"/>
          <w:szCs w:val="20"/>
        </w:rPr>
        <w:t xml:space="preserve"> </w:t>
      </w:r>
      <w:proofErr w:type="spellStart"/>
      <w:r w:rsidRPr="00A23025">
        <w:rPr>
          <w:sz w:val="20"/>
          <w:szCs w:val="20"/>
        </w:rPr>
        <w:t>Giorgia</w:t>
      </w:r>
      <w:proofErr w:type="spellEnd"/>
      <w:r w:rsidRPr="00A23025">
        <w:rPr>
          <w:sz w:val="20"/>
          <w:szCs w:val="20"/>
        </w:rPr>
        <w:t xml:space="preserve"> </w:t>
      </w:r>
      <w:proofErr w:type="spellStart"/>
      <w:r w:rsidRPr="00A23025">
        <w:rPr>
          <w:sz w:val="20"/>
          <w:szCs w:val="20"/>
        </w:rPr>
        <w:t>Sivori</w:t>
      </w:r>
      <w:proofErr w:type="spellEnd"/>
      <w:r>
        <w:rPr>
          <w:sz w:val="20"/>
          <w:szCs w:val="20"/>
        </w:rPr>
        <w:t xml:space="preserve">, MD, </w:t>
      </w:r>
      <w:r w:rsidRPr="00A23025">
        <w:rPr>
          <w:sz w:val="20"/>
          <w:szCs w:val="20"/>
        </w:rPr>
        <w:t xml:space="preserve">Neurological Department ASL 4 </w:t>
      </w:r>
      <w:proofErr w:type="spellStart"/>
      <w:r w:rsidRPr="00A23025">
        <w:rPr>
          <w:sz w:val="20"/>
          <w:szCs w:val="20"/>
        </w:rPr>
        <w:t>Chiavarese</w:t>
      </w:r>
      <w:proofErr w:type="spellEnd"/>
      <w:r w:rsidRPr="00A23025">
        <w:rPr>
          <w:sz w:val="20"/>
          <w:szCs w:val="20"/>
        </w:rPr>
        <w:t xml:space="preserve"> Liguria, Italy</w:t>
      </w:r>
      <w:r>
        <w:rPr>
          <w:sz w:val="20"/>
          <w:szCs w:val="20"/>
        </w:rPr>
        <w:t xml:space="preserve">, Tel: </w:t>
      </w:r>
      <w:r w:rsidRPr="00A23025">
        <w:rPr>
          <w:sz w:val="20"/>
          <w:szCs w:val="20"/>
        </w:rPr>
        <w:t>0185329550</w:t>
      </w:r>
      <w:r>
        <w:rPr>
          <w:sz w:val="20"/>
          <w:szCs w:val="20"/>
        </w:rPr>
        <w:t xml:space="preserve">, E-mail: </w:t>
      </w:r>
      <w:r w:rsidRPr="00750DB7">
        <w:rPr>
          <w:sz w:val="20"/>
          <w:szCs w:val="20"/>
        </w:rPr>
        <w:t>giorgia.sivori@asl4.liguria.it</w:t>
      </w:r>
    </w:p>
    <w:p w14:paraId="55A9C7C7" w14:textId="6D620C56" w:rsidR="00A23025" w:rsidRDefault="00A23025" w:rsidP="00C3144A">
      <w:pPr>
        <w:pStyle w:val="BodyText"/>
        <w:spacing w:line="360" w:lineRule="auto"/>
        <w:jc w:val="both"/>
        <w:rPr>
          <w:sz w:val="20"/>
          <w:szCs w:val="20"/>
        </w:rPr>
      </w:pPr>
    </w:p>
    <w:p w14:paraId="69010BBC" w14:textId="23FF5057" w:rsidR="00A23025" w:rsidRDefault="00A23025" w:rsidP="00A23025">
      <w:pPr>
        <w:pStyle w:val="BodyText"/>
        <w:spacing w:line="360" w:lineRule="auto"/>
        <w:jc w:val="both"/>
        <w:rPr>
          <w:b/>
          <w:bCs/>
          <w:sz w:val="30"/>
          <w:szCs w:val="30"/>
        </w:rPr>
      </w:pPr>
      <w:r w:rsidRPr="00A23025">
        <w:rPr>
          <w:b/>
          <w:bCs/>
          <w:sz w:val="20"/>
          <w:szCs w:val="20"/>
          <w:vertAlign w:val="superscript"/>
        </w:rPr>
        <w:t>*</w:t>
      </w:r>
      <w:r w:rsidRPr="00A23025">
        <w:rPr>
          <w:b/>
          <w:bCs/>
          <w:sz w:val="20"/>
          <w:szCs w:val="20"/>
        </w:rPr>
        <w:t>Citation</w:t>
      </w:r>
      <w:r>
        <w:rPr>
          <w:b/>
          <w:bCs/>
          <w:sz w:val="20"/>
          <w:szCs w:val="20"/>
        </w:rPr>
        <w:t xml:space="preserve">: </w:t>
      </w:r>
      <w:proofErr w:type="spellStart"/>
      <w:r w:rsidRPr="00A23025">
        <w:rPr>
          <w:sz w:val="20"/>
          <w:szCs w:val="20"/>
        </w:rPr>
        <w:t>Giorgia</w:t>
      </w:r>
      <w:proofErr w:type="spellEnd"/>
      <w:r w:rsidRPr="00A23025">
        <w:rPr>
          <w:sz w:val="20"/>
          <w:szCs w:val="20"/>
        </w:rPr>
        <w:t xml:space="preserve"> </w:t>
      </w:r>
      <w:proofErr w:type="spellStart"/>
      <w:r w:rsidRPr="00A23025">
        <w:rPr>
          <w:sz w:val="20"/>
          <w:szCs w:val="20"/>
        </w:rPr>
        <w:t>Sivori</w:t>
      </w:r>
      <w:proofErr w:type="spellEnd"/>
      <w:r>
        <w:rPr>
          <w:sz w:val="20"/>
          <w:szCs w:val="20"/>
        </w:rPr>
        <w:t xml:space="preserve"> (2021) </w:t>
      </w:r>
      <w:r w:rsidR="002F028F" w:rsidRPr="002F028F">
        <w:rPr>
          <w:sz w:val="20"/>
          <w:szCs w:val="20"/>
        </w:rPr>
        <w:t xml:space="preserve">Post Anti </w:t>
      </w:r>
      <w:r w:rsidR="002F028F">
        <w:rPr>
          <w:sz w:val="20"/>
          <w:szCs w:val="20"/>
        </w:rPr>
        <w:t>SARS-CoV2</w:t>
      </w:r>
      <w:r w:rsidR="002F028F" w:rsidRPr="002F028F">
        <w:rPr>
          <w:sz w:val="20"/>
          <w:szCs w:val="20"/>
        </w:rPr>
        <w:t xml:space="preserve"> Vaccination Guillain Barr</w:t>
      </w:r>
      <w:r w:rsidR="002F028F">
        <w:rPr>
          <w:sz w:val="20"/>
          <w:szCs w:val="20"/>
        </w:rPr>
        <w:t>e</w:t>
      </w:r>
      <w:r w:rsidR="002F028F" w:rsidRPr="002F028F">
        <w:rPr>
          <w:sz w:val="20"/>
          <w:szCs w:val="20"/>
        </w:rPr>
        <w:t xml:space="preserve"> Syndrome: A Case Report and Literature Review</w:t>
      </w:r>
      <w:r w:rsidR="002F028F">
        <w:rPr>
          <w:sz w:val="20"/>
          <w:szCs w:val="20"/>
        </w:rPr>
        <w:t xml:space="preserve">. </w:t>
      </w:r>
      <w:r>
        <w:rPr>
          <w:sz w:val="20"/>
          <w:szCs w:val="20"/>
        </w:rPr>
        <w:t xml:space="preserve"> </w:t>
      </w:r>
      <w:r w:rsidRPr="00A23025">
        <w:rPr>
          <w:sz w:val="20"/>
          <w:szCs w:val="20"/>
          <w:highlight w:val="yellow"/>
        </w:rPr>
        <w:t>JNND-</w:t>
      </w:r>
      <w:proofErr w:type="spellStart"/>
      <w:r w:rsidRPr="00A23025">
        <w:rPr>
          <w:sz w:val="20"/>
          <w:szCs w:val="20"/>
          <w:highlight w:val="yellow"/>
        </w:rPr>
        <w:t>Jscholar</w:t>
      </w:r>
      <w:proofErr w:type="spellEnd"/>
    </w:p>
    <w:p w14:paraId="6580206C" w14:textId="682C2248" w:rsidR="00A23025" w:rsidRPr="00A23025" w:rsidRDefault="00A23025" w:rsidP="00C3144A">
      <w:pPr>
        <w:pStyle w:val="BodyText"/>
        <w:spacing w:line="360" w:lineRule="auto"/>
        <w:jc w:val="both"/>
        <w:rPr>
          <w:b/>
          <w:bCs/>
          <w:sz w:val="20"/>
          <w:szCs w:val="20"/>
        </w:rPr>
      </w:pPr>
    </w:p>
    <w:p w14:paraId="1E83E4BB" w14:textId="77777777" w:rsidR="00940546" w:rsidRPr="00C3144A" w:rsidRDefault="00940546" w:rsidP="00A665E7">
      <w:pPr>
        <w:pStyle w:val="Heading1"/>
        <w:tabs>
          <w:tab w:val="left" w:pos="280"/>
        </w:tabs>
        <w:spacing w:line="360" w:lineRule="auto"/>
        <w:ind w:left="114" w:firstLine="0"/>
        <w:jc w:val="both"/>
        <w:rPr>
          <w:sz w:val="20"/>
          <w:szCs w:val="20"/>
        </w:rPr>
      </w:pPr>
      <w:bookmarkStart w:id="0" w:name="_TOC_250005"/>
      <w:bookmarkEnd w:id="0"/>
      <w:r w:rsidRPr="00C3144A">
        <w:rPr>
          <w:sz w:val="20"/>
          <w:szCs w:val="20"/>
        </w:rPr>
        <w:t>Abstract</w:t>
      </w:r>
    </w:p>
    <w:p w14:paraId="44EA90EE" w14:textId="5865E1C7" w:rsidR="00940546" w:rsidRDefault="00940546" w:rsidP="00C3144A">
      <w:pPr>
        <w:pStyle w:val="BodyText"/>
        <w:spacing w:before="121" w:line="360" w:lineRule="auto"/>
        <w:ind w:left="115" w:right="133"/>
        <w:jc w:val="both"/>
        <w:rPr>
          <w:color w:val="222222"/>
          <w:sz w:val="20"/>
          <w:szCs w:val="20"/>
        </w:rPr>
      </w:pPr>
      <w:proofErr w:type="spellStart"/>
      <w:r w:rsidRPr="00C3144A">
        <w:rPr>
          <w:sz w:val="20"/>
          <w:szCs w:val="20"/>
        </w:rPr>
        <w:t>Guillain</w:t>
      </w:r>
      <w:proofErr w:type="spellEnd"/>
      <w:r w:rsidRPr="00C3144A">
        <w:rPr>
          <w:sz w:val="20"/>
          <w:szCs w:val="20"/>
        </w:rPr>
        <w:t>–</w:t>
      </w:r>
      <w:proofErr w:type="spellStart"/>
      <w:r w:rsidRPr="00C3144A">
        <w:rPr>
          <w:sz w:val="20"/>
          <w:szCs w:val="20"/>
        </w:rPr>
        <w:t>Barrè</w:t>
      </w:r>
      <w:proofErr w:type="spellEnd"/>
      <w:r w:rsidRPr="00C3144A">
        <w:rPr>
          <w:sz w:val="20"/>
          <w:szCs w:val="20"/>
        </w:rPr>
        <w:t xml:space="preserve"> syndrome is a rare but potentially serious disease. The exact cause of </w:t>
      </w:r>
      <w:proofErr w:type="spellStart"/>
      <w:r w:rsidRPr="00C3144A">
        <w:rPr>
          <w:sz w:val="20"/>
          <w:szCs w:val="20"/>
        </w:rPr>
        <w:t>Guillain</w:t>
      </w:r>
      <w:proofErr w:type="spellEnd"/>
      <w:r w:rsidRPr="00C3144A">
        <w:rPr>
          <w:sz w:val="20"/>
          <w:szCs w:val="20"/>
        </w:rPr>
        <w:t>–</w:t>
      </w:r>
      <w:proofErr w:type="spellStart"/>
      <w:r w:rsidRPr="00C3144A">
        <w:rPr>
          <w:sz w:val="20"/>
          <w:szCs w:val="20"/>
        </w:rPr>
        <w:t>Barrè</w:t>
      </w:r>
      <w:proofErr w:type="spellEnd"/>
      <w:r w:rsidRPr="00C3144A">
        <w:rPr>
          <w:sz w:val="20"/>
          <w:szCs w:val="20"/>
        </w:rPr>
        <w:t xml:space="preserve"> syndrome (GBS) is still unknown. </w:t>
      </w:r>
      <w:r w:rsidRPr="00C3144A">
        <w:rPr>
          <w:color w:val="222222"/>
          <w:sz w:val="20"/>
          <w:szCs w:val="20"/>
        </w:rPr>
        <w:t xml:space="preserve">Campylobacter </w:t>
      </w:r>
      <w:proofErr w:type="spellStart"/>
      <w:r w:rsidRPr="00C3144A">
        <w:rPr>
          <w:color w:val="222222"/>
          <w:sz w:val="20"/>
          <w:szCs w:val="20"/>
        </w:rPr>
        <w:t>jejuni</w:t>
      </w:r>
      <w:proofErr w:type="spellEnd"/>
      <w:r w:rsidRPr="00C3144A">
        <w:rPr>
          <w:color w:val="222222"/>
          <w:sz w:val="20"/>
          <w:szCs w:val="20"/>
        </w:rPr>
        <w:t xml:space="preserve"> infection is the most commonly identified precipitant of GBS. Cytomegalovirus, influenza virus, human immunodeficiency virus (HIV), and Zika virus have also been associated with GBS. A small percentage of patients develop GBS after another triggering event such as surgery, trauma, bone-marrow transplantation or immunization. The relationship between </w:t>
      </w:r>
      <w:proofErr w:type="spellStart"/>
      <w:r w:rsidRPr="00C3144A">
        <w:rPr>
          <w:color w:val="222222"/>
          <w:sz w:val="20"/>
          <w:szCs w:val="20"/>
        </w:rPr>
        <w:t>Guillain</w:t>
      </w:r>
      <w:proofErr w:type="spellEnd"/>
      <w:r w:rsidRPr="00C3144A">
        <w:rPr>
          <w:color w:val="222222"/>
          <w:sz w:val="20"/>
          <w:szCs w:val="20"/>
        </w:rPr>
        <w:t>–</w:t>
      </w:r>
      <w:proofErr w:type="spellStart"/>
      <w:r w:rsidRPr="00C3144A">
        <w:rPr>
          <w:color w:val="222222"/>
          <w:sz w:val="20"/>
          <w:szCs w:val="20"/>
        </w:rPr>
        <w:t>Barrè</w:t>
      </w:r>
      <w:proofErr w:type="spellEnd"/>
      <w:r w:rsidRPr="00C3144A">
        <w:rPr>
          <w:color w:val="222222"/>
          <w:sz w:val="20"/>
          <w:szCs w:val="20"/>
        </w:rPr>
        <w:t xml:space="preserve"> syndrome and vaccinations like after a meningococcal vaccine, influenza vaccine, and others vaccine, is well known.</w:t>
      </w:r>
    </w:p>
    <w:p w14:paraId="579365FC" w14:textId="77777777" w:rsidR="005D0FF8" w:rsidRPr="00C3144A" w:rsidRDefault="005D0FF8" w:rsidP="00C3144A">
      <w:pPr>
        <w:pStyle w:val="BodyText"/>
        <w:spacing w:before="121" w:line="360" w:lineRule="auto"/>
        <w:ind w:left="115" w:right="133"/>
        <w:jc w:val="both"/>
        <w:rPr>
          <w:sz w:val="20"/>
          <w:szCs w:val="20"/>
        </w:rPr>
      </w:pPr>
    </w:p>
    <w:p w14:paraId="75C6E0BC" w14:textId="25853F38" w:rsidR="00940546" w:rsidRDefault="00940546" w:rsidP="00C3144A">
      <w:pPr>
        <w:pStyle w:val="BodyText"/>
        <w:spacing w:line="360" w:lineRule="auto"/>
        <w:ind w:left="115" w:right="131"/>
        <w:jc w:val="both"/>
        <w:rPr>
          <w:sz w:val="20"/>
          <w:szCs w:val="20"/>
        </w:rPr>
      </w:pPr>
      <w:r w:rsidRPr="00C3144A">
        <w:rPr>
          <w:sz w:val="20"/>
          <w:szCs w:val="20"/>
        </w:rPr>
        <w:t xml:space="preserve">In the recent pandemic context, the start of the vaccination campaign has led to the observation of related manifestations: in this case report, we are presenting a case of vaccine-associated </w:t>
      </w:r>
      <w:proofErr w:type="spellStart"/>
      <w:r w:rsidRPr="00C3144A">
        <w:rPr>
          <w:sz w:val="20"/>
          <w:szCs w:val="20"/>
        </w:rPr>
        <w:t>Guillain</w:t>
      </w:r>
      <w:proofErr w:type="spellEnd"/>
      <w:r w:rsidRPr="00C3144A">
        <w:rPr>
          <w:sz w:val="20"/>
          <w:szCs w:val="20"/>
        </w:rPr>
        <w:t>–</w:t>
      </w:r>
      <w:proofErr w:type="spellStart"/>
      <w:r w:rsidRPr="00C3144A">
        <w:rPr>
          <w:sz w:val="20"/>
          <w:szCs w:val="20"/>
        </w:rPr>
        <w:t>Barrè</w:t>
      </w:r>
      <w:proofErr w:type="spellEnd"/>
      <w:r w:rsidRPr="00C3144A">
        <w:rPr>
          <w:sz w:val="20"/>
          <w:szCs w:val="20"/>
        </w:rPr>
        <w:t xml:space="preserve"> syndrome due to </w:t>
      </w:r>
      <w:r w:rsidR="002F028F">
        <w:rPr>
          <w:sz w:val="20"/>
          <w:szCs w:val="20"/>
        </w:rPr>
        <w:t>SARS-CoV2</w:t>
      </w:r>
      <w:r w:rsidRPr="00C3144A">
        <w:rPr>
          <w:sz w:val="20"/>
          <w:szCs w:val="20"/>
        </w:rPr>
        <w:t xml:space="preserve"> vaccine (AstraZeneca) in </w:t>
      </w:r>
      <w:proofErr w:type="gramStart"/>
      <w:r w:rsidRPr="00C3144A">
        <w:rPr>
          <w:sz w:val="20"/>
          <w:szCs w:val="20"/>
        </w:rPr>
        <w:t>a women</w:t>
      </w:r>
      <w:proofErr w:type="gramEnd"/>
      <w:r w:rsidRPr="00C3144A">
        <w:rPr>
          <w:sz w:val="20"/>
          <w:szCs w:val="20"/>
        </w:rPr>
        <w:t>, who presented with lower limb weakness and gait ataxia.</w:t>
      </w:r>
    </w:p>
    <w:p w14:paraId="69B48296" w14:textId="4D02A688" w:rsidR="00A665E7" w:rsidRDefault="00A665E7" w:rsidP="00C3144A">
      <w:pPr>
        <w:pStyle w:val="BodyText"/>
        <w:spacing w:line="360" w:lineRule="auto"/>
        <w:ind w:left="115" w:right="131"/>
        <w:jc w:val="both"/>
        <w:rPr>
          <w:sz w:val="20"/>
          <w:szCs w:val="20"/>
        </w:rPr>
      </w:pPr>
    </w:p>
    <w:p w14:paraId="79BB9AC6" w14:textId="356A7220" w:rsidR="00A665E7" w:rsidRDefault="00A665E7" w:rsidP="00C3144A">
      <w:pPr>
        <w:pStyle w:val="BodyText"/>
        <w:spacing w:line="360" w:lineRule="auto"/>
        <w:ind w:left="115" w:right="131"/>
        <w:jc w:val="both"/>
        <w:rPr>
          <w:color w:val="222222"/>
          <w:sz w:val="20"/>
          <w:szCs w:val="20"/>
        </w:rPr>
      </w:pPr>
      <w:r w:rsidRPr="00A665E7">
        <w:rPr>
          <w:b/>
          <w:bCs/>
          <w:sz w:val="20"/>
          <w:szCs w:val="20"/>
        </w:rPr>
        <w:t>Keywords:</w:t>
      </w:r>
      <w:r>
        <w:rPr>
          <w:b/>
          <w:bCs/>
          <w:sz w:val="20"/>
          <w:szCs w:val="20"/>
        </w:rPr>
        <w:t xml:space="preserve"> </w:t>
      </w:r>
      <w:proofErr w:type="spellStart"/>
      <w:r>
        <w:rPr>
          <w:color w:val="222222"/>
          <w:sz w:val="20"/>
          <w:szCs w:val="20"/>
        </w:rPr>
        <w:t>G</w:t>
      </w:r>
      <w:r w:rsidRPr="00A665E7">
        <w:rPr>
          <w:color w:val="222222"/>
          <w:sz w:val="20"/>
          <w:szCs w:val="20"/>
        </w:rPr>
        <w:t>uillain</w:t>
      </w:r>
      <w:proofErr w:type="spellEnd"/>
      <w:r w:rsidRPr="00A665E7">
        <w:rPr>
          <w:color w:val="222222"/>
          <w:sz w:val="20"/>
          <w:szCs w:val="20"/>
        </w:rPr>
        <w:t xml:space="preserve"> </w:t>
      </w:r>
      <w:proofErr w:type="spellStart"/>
      <w:r w:rsidRPr="00A665E7">
        <w:rPr>
          <w:color w:val="222222"/>
          <w:sz w:val="20"/>
          <w:szCs w:val="20"/>
        </w:rPr>
        <w:t>Barrè</w:t>
      </w:r>
      <w:proofErr w:type="spellEnd"/>
      <w:r>
        <w:rPr>
          <w:color w:val="222222"/>
          <w:sz w:val="20"/>
          <w:szCs w:val="20"/>
        </w:rPr>
        <w:t>;</w:t>
      </w:r>
      <w:r w:rsidRPr="00A665E7">
        <w:rPr>
          <w:color w:val="222222"/>
          <w:sz w:val="20"/>
          <w:szCs w:val="20"/>
        </w:rPr>
        <w:t xml:space="preserve"> G</w:t>
      </w:r>
      <w:r>
        <w:rPr>
          <w:color w:val="222222"/>
          <w:sz w:val="20"/>
          <w:szCs w:val="20"/>
        </w:rPr>
        <w:t>BS;</w:t>
      </w:r>
      <w:r w:rsidRPr="00A665E7">
        <w:rPr>
          <w:color w:val="222222"/>
          <w:sz w:val="20"/>
          <w:szCs w:val="20"/>
        </w:rPr>
        <w:t xml:space="preserve"> </w:t>
      </w:r>
      <w:proofErr w:type="spellStart"/>
      <w:r w:rsidRPr="00A665E7">
        <w:rPr>
          <w:color w:val="222222"/>
          <w:sz w:val="20"/>
          <w:szCs w:val="20"/>
        </w:rPr>
        <w:t>Covid</w:t>
      </w:r>
      <w:proofErr w:type="spellEnd"/>
      <w:r w:rsidRPr="00A665E7">
        <w:rPr>
          <w:color w:val="222222"/>
          <w:sz w:val="20"/>
          <w:szCs w:val="20"/>
        </w:rPr>
        <w:t xml:space="preserve"> Vaccines</w:t>
      </w:r>
    </w:p>
    <w:p w14:paraId="4FA8F6F6" w14:textId="77777777" w:rsidR="00A665E7" w:rsidRPr="00A665E7" w:rsidRDefault="00A665E7" w:rsidP="00C3144A">
      <w:pPr>
        <w:pStyle w:val="BodyText"/>
        <w:spacing w:line="360" w:lineRule="auto"/>
        <w:ind w:left="115" w:right="131"/>
        <w:jc w:val="both"/>
        <w:rPr>
          <w:b/>
          <w:bCs/>
          <w:sz w:val="20"/>
          <w:szCs w:val="20"/>
        </w:rPr>
      </w:pPr>
    </w:p>
    <w:p w14:paraId="69A88A2D" w14:textId="77777777" w:rsidR="00940546" w:rsidRPr="00C3144A" w:rsidRDefault="00940546" w:rsidP="00A665E7">
      <w:pPr>
        <w:pStyle w:val="Heading1"/>
        <w:tabs>
          <w:tab w:val="left" w:pos="280"/>
        </w:tabs>
        <w:spacing w:before="74" w:line="360" w:lineRule="auto"/>
        <w:jc w:val="both"/>
        <w:rPr>
          <w:sz w:val="20"/>
          <w:szCs w:val="20"/>
        </w:rPr>
      </w:pPr>
      <w:bookmarkStart w:id="1" w:name="_TOC_250004"/>
      <w:bookmarkEnd w:id="1"/>
      <w:r w:rsidRPr="00C3144A">
        <w:rPr>
          <w:sz w:val="20"/>
          <w:szCs w:val="20"/>
        </w:rPr>
        <w:t>Introduction</w:t>
      </w:r>
    </w:p>
    <w:p w14:paraId="01C9C02F" w14:textId="5C565A3D" w:rsidR="00940546" w:rsidRDefault="00940546" w:rsidP="00C3144A">
      <w:pPr>
        <w:pStyle w:val="BodyText"/>
        <w:spacing w:before="119" w:line="360" w:lineRule="auto"/>
        <w:ind w:left="115" w:right="130"/>
        <w:jc w:val="both"/>
        <w:rPr>
          <w:color w:val="09132A"/>
          <w:sz w:val="20"/>
          <w:szCs w:val="20"/>
        </w:rPr>
      </w:pPr>
      <w:proofErr w:type="spellStart"/>
      <w:r w:rsidRPr="00C3144A">
        <w:rPr>
          <w:color w:val="222222"/>
          <w:sz w:val="20"/>
          <w:szCs w:val="20"/>
        </w:rPr>
        <w:t>Guillain</w:t>
      </w:r>
      <w:proofErr w:type="spellEnd"/>
      <w:r w:rsidRPr="00C3144A">
        <w:rPr>
          <w:color w:val="222222"/>
          <w:sz w:val="20"/>
          <w:szCs w:val="20"/>
        </w:rPr>
        <w:t>–</w:t>
      </w:r>
      <w:proofErr w:type="spellStart"/>
      <w:r w:rsidRPr="00C3144A">
        <w:rPr>
          <w:color w:val="222222"/>
          <w:sz w:val="20"/>
          <w:szCs w:val="20"/>
        </w:rPr>
        <w:t>Barrè</w:t>
      </w:r>
      <w:proofErr w:type="spellEnd"/>
      <w:r w:rsidRPr="00C3144A">
        <w:rPr>
          <w:color w:val="222222"/>
          <w:sz w:val="20"/>
          <w:szCs w:val="20"/>
        </w:rPr>
        <w:t xml:space="preserve"> syndrome is a rare but potentially serious disease: </w:t>
      </w:r>
      <w:r w:rsidRPr="00C3144A">
        <w:rPr>
          <w:color w:val="09132A"/>
          <w:sz w:val="20"/>
          <w:szCs w:val="20"/>
        </w:rPr>
        <w:t xml:space="preserve">is fatal in about 3 percent of patients, even with treatment </w:t>
      </w:r>
      <w:r w:rsidR="00A665E7">
        <w:rPr>
          <w:color w:val="09132A"/>
          <w:sz w:val="20"/>
          <w:szCs w:val="20"/>
        </w:rPr>
        <w:t>[1]</w:t>
      </w:r>
      <w:r w:rsidRPr="00C3144A">
        <w:rPr>
          <w:color w:val="09132A"/>
          <w:sz w:val="20"/>
          <w:szCs w:val="20"/>
        </w:rPr>
        <w:t xml:space="preserve">; up to 25 percent of patients require intubation and mechanical ventilation. The prognosis is worse in older patients, those with severe symptoms, and those with rapid onset of symptoms. Up to 20 percent of patients </w:t>
      </w:r>
      <w:r w:rsidRPr="00C3144A">
        <w:rPr>
          <w:color w:val="222222"/>
          <w:sz w:val="20"/>
          <w:szCs w:val="20"/>
        </w:rPr>
        <w:t>have residual disability</w:t>
      </w:r>
      <w:r w:rsidRPr="00C3144A">
        <w:rPr>
          <w:color w:val="09132A"/>
          <w:sz w:val="20"/>
          <w:szCs w:val="20"/>
        </w:rPr>
        <w:t>, which in half of the cases is severe</w:t>
      </w:r>
      <w:r w:rsidRPr="00C3144A">
        <w:rPr>
          <w:color w:val="09132A"/>
          <w:spacing w:val="-11"/>
          <w:sz w:val="20"/>
          <w:szCs w:val="20"/>
        </w:rPr>
        <w:t xml:space="preserve"> </w:t>
      </w:r>
      <w:r w:rsidR="00A665E7">
        <w:rPr>
          <w:color w:val="09132A"/>
          <w:sz w:val="20"/>
          <w:szCs w:val="20"/>
        </w:rPr>
        <w:t>[1,2]</w:t>
      </w:r>
      <w:r w:rsidRPr="00C3144A">
        <w:rPr>
          <w:color w:val="09132A"/>
          <w:sz w:val="20"/>
          <w:szCs w:val="20"/>
        </w:rPr>
        <w:t>.</w:t>
      </w:r>
    </w:p>
    <w:p w14:paraId="77D0AC66" w14:textId="77777777" w:rsidR="002F028F" w:rsidRPr="00C3144A" w:rsidRDefault="002F028F" w:rsidP="00C3144A">
      <w:pPr>
        <w:pStyle w:val="BodyText"/>
        <w:spacing w:before="119" w:line="360" w:lineRule="auto"/>
        <w:ind w:left="115" w:right="130"/>
        <w:jc w:val="both"/>
        <w:rPr>
          <w:sz w:val="20"/>
          <w:szCs w:val="20"/>
        </w:rPr>
      </w:pPr>
    </w:p>
    <w:p w14:paraId="33DE8AC4" w14:textId="1B72C7E2" w:rsidR="00940546" w:rsidRDefault="00940546" w:rsidP="00C3144A">
      <w:pPr>
        <w:pStyle w:val="BodyText"/>
        <w:spacing w:line="360" w:lineRule="auto"/>
        <w:ind w:left="115" w:right="131"/>
        <w:jc w:val="both"/>
        <w:rPr>
          <w:color w:val="222222"/>
          <w:sz w:val="20"/>
          <w:szCs w:val="20"/>
        </w:rPr>
      </w:pPr>
      <w:r w:rsidRPr="00C3144A">
        <w:rPr>
          <w:color w:val="222222"/>
          <w:sz w:val="20"/>
          <w:szCs w:val="20"/>
        </w:rPr>
        <w:t xml:space="preserve">The exact cause of </w:t>
      </w:r>
      <w:proofErr w:type="spellStart"/>
      <w:r w:rsidRPr="00C3144A">
        <w:rPr>
          <w:color w:val="222222"/>
          <w:sz w:val="20"/>
          <w:szCs w:val="20"/>
        </w:rPr>
        <w:t>Guillain</w:t>
      </w:r>
      <w:proofErr w:type="spellEnd"/>
      <w:r w:rsidRPr="00C3144A">
        <w:rPr>
          <w:color w:val="222222"/>
          <w:sz w:val="20"/>
          <w:szCs w:val="20"/>
        </w:rPr>
        <w:t>–</w:t>
      </w:r>
      <w:proofErr w:type="spellStart"/>
      <w:r w:rsidRPr="00C3144A">
        <w:rPr>
          <w:color w:val="222222"/>
          <w:sz w:val="20"/>
          <w:szCs w:val="20"/>
        </w:rPr>
        <w:t>Barrè</w:t>
      </w:r>
      <w:proofErr w:type="spellEnd"/>
      <w:r w:rsidRPr="00C3144A">
        <w:rPr>
          <w:color w:val="222222"/>
          <w:sz w:val="20"/>
          <w:szCs w:val="20"/>
        </w:rPr>
        <w:t xml:space="preserve"> syndrome is still unknown. Campylobacter </w:t>
      </w:r>
      <w:proofErr w:type="spellStart"/>
      <w:r w:rsidRPr="00C3144A">
        <w:rPr>
          <w:color w:val="222222"/>
          <w:sz w:val="20"/>
          <w:szCs w:val="20"/>
        </w:rPr>
        <w:t>jejuni</w:t>
      </w:r>
      <w:proofErr w:type="spellEnd"/>
      <w:r w:rsidRPr="00C3144A">
        <w:rPr>
          <w:color w:val="222222"/>
          <w:sz w:val="20"/>
          <w:szCs w:val="20"/>
        </w:rPr>
        <w:t xml:space="preserve"> infection is the most commonly identified precipitant of GBS </w:t>
      </w:r>
      <w:r w:rsidR="00A665E7">
        <w:rPr>
          <w:color w:val="222222"/>
          <w:sz w:val="20"/>
          <w:szCs w:val="20"/>
        </w:rPr>
        <w:t>[3,4]</w:t>
      </w:r>
      <w:r w:rsidRPr="00C3144A">
        <w:rPr>
          <w:color w:val="222222"/>
          <w:sz w:val="20"/>
          <w:szCs w:val="20"/>
        </w:rPr>
        <w:t xml:space="preserve">. Cytomegalovirus </w:t>
      </w:r>
      <w:r w:rsidR="00A665E7">
        <w:rPr>
          <w:color w:val="222222"/>
          <w:sz w:val="20"/>
          <w:szCs w:val="20"/>
        </w:rPr>
        <w:t>[5,6]</w:t>
      </w:r>
      <w:r w:rsidRPr="00C3144A">
        <w:rPr>
          <w:color w:val="222222"/>
          <w:sz w:val="20"/>
          <w:szCs w:val="20"/>
        </w:rPr>
        <w:t xml:space="preserve">, influenza virus </w:t>
      </w:r>
      <w:r w:rsidR="00A665E7">
        <w:rPr>
          <w:color w:val="222222"/>
          <w:sz w:val="20"/>
          <w:szCs w:val="20"/>
        </w:rPr>
        <w:t>[7,8]</w:t>
      </w:r>
      <w:r w:rsidRPr="00C3144A">
        <w:rPr>
          <w:color w:val="222222"/>
          <w:sz w:val="20"/>
          <w:szCs w:val="20"/>
        </w:rPr>
        <w:t xml:space="preserve"> human immunodeficiency virus (HIV) </w:t>
      </w:r>
      <w:r w:rsidR="000070BB">
        <w:rPr>
          <w:color w:val="222222"/>
          <w:sz w:val="20"/>
          <w:szCs w:val="20"/>
        </w:rPr>
        <w:t>[9]</w:t>
      </w:r>
      <w:r w:rsidRPr="00C3144A">
        <w:rPr>
          <w:color w:val="222222"/>
          <w:sz w:val="20"/>
          <w:szCs w:val="20"/>
        </w:rPr>
        <w:t xml:space="preserve">, and Zika virus </w:t>
      </w:r>
      <w:r w:rsidR="000070BB">
        <w:rPr>
          <w:color w:val="222222"/>
          <w:sz w:val="20"/>
          <w:szCs w:val="20"/>
        </w:rPr>
        <w:t>[</w:t>
      </w:r>
      <w:r w:rsidRPr="00C3144A">
        <w:rPr>
          <w:color w:val="222222"/>
          <w:sz w:val="20"/>
          <w:szCs w:val="20"/>
        </w:rPr>
        <w:t>10,11</w:t>
      </w:r>
      <w:r w:rsidR="000070BB">
        <w:rPr>
          <w:color w:val="222222"/>
          <w:sz w:val="20"/>
          <w:szCs w:val="20"/>
        </w:rPr>
        <w:t>]</w:t>
      </w:r>
      <w:r w:rsidRPr="00C3144A">
        <w:rPr>
          <w:color w:val="222222"/>
          <w:sz w:val="20"/>
          <w:szCs w:val="20"/>
        </w:rPr>
        <w:t xml:space="preserve"> have also been associated with GBS.</w:t>
      </w:r>
    </w:p>
    <w:p w14:paraId="1D6AE246" w14:textId="77777777" w:rsidR="002F028F" w:rsidRPr="00C3144A" w:rsidRDefault="002F028F" w:rsidP="00C3144A">
      <w:pPr>
        <w:pStyle w:val="BodyText"/>
        <w:spacing w:line="360" w:lineRule="auto"/>
        <w:ind w:left="115" w:right="131"/>
        <w:jc w:val="both"/>
        <w:rPr>
          <w:sz w:val="20"/>
          <w:szCs w:val="20"/>
        </w:rPr>
      </w:pPr>
    </w:p>
    <w:p w14:paraId="7B7E43D0" w14:textId="2877619C" w:rsidR="00940546" w:rsidRDefault="00940546" w:rsidP="00C3144A">
      <w:pPr>
        <w:pStyle w:val="BodyText"/>
        <w:spacing w:line="360" w:lineRule="auto"/>
        <w:ind w:left="115" w:right="137"/>
        <w:jc w:val="both"/>
        <w:rPr>
          <w:color w:val="222222"/>
          <w:sz w:val="20"/>
          <w:szCs w:val="20"/>
        </w:rPr>
      </w:pPr>
      <w:r w:rsidRPr="00C3144A">
        <w:rPr>
          <w:color w:val="222222"/>
          <w:sz w:val="20"/>
          <w:szCs w:val="20"/>
        </w:rPr>
        <w:t xml:space="preserve">A small percentage of patients develop GBS after another triggering event such as surgery, trauma, bone-marrow </w:t>
      </w:r>
      <w:r w:rsidRPr="00C3144A">
        <w:rPr>
          <w:color w:val="222222"/>
          <w:sz w:val="20"/>
          <w:szCs w:val="20"/>
        </w:rPr>
        <w:lastRenderedPageBreak/>
        <w:t xml:space="preserve">transplantation or immunization </w:t>
      </w:r>
      <w:r w:rsidR="000070BB">
        <w:rPr>
          <w:color w:val="222222"/>
          <w:sz w:val="20"/>
          <w:szCs w:val="20"/>
        </w:rPr>
        <w:t>[12]</w:t>
      </w:r>
      <w:r w:rsidRPr="00C3144A">
        <w:rPr>
          <w:color w:val="222222"/>
          <w:sz w:val="20"/>
          <w:szCs w:val="20"/>
        </w:rPr>
        <w:t>.</w:t>
      </w:r>
    </w:p>
    <w:p w14:paraId="06E870C5" w14:textId="77777777" w:rsidR="002F028F" w:rsidRPr="00C3144A" w:rsidRDefault="002F028F" w:rsidP="00C3144A">
      <w:pPr>
        <w:pStyle w:val="BodyText"/>
        <w:spacing w:line="360" w:lineRule="auto"/>
        <w:ind w:left="115" w:right="137"/>
        <w:jc w:val="both"/>
        <w:rPr>
          <w:sz w:val="20"/>
          <w:szCs w:val="20"/>
        </w:rPr>
      </w:pPr>
    </w:p>
    <w:p w14:paraId="35FC85C3" w14:textId="1E3AF9E7" w:rsidR="00940546" w:rsidRDefault="00940546" w:rsidP="00C3144A">
      <w:pPr>
        <w:pStyle w:val="BodyText"/>
        <w:spacing w:line="360" w:lineRule="auto"/>
        <w:ind w:left="115" w:right="138"/>
        <w:jc w:val="both"/>
        <w:rPr>
          <w:color w:val="222222"/>
          <w:sz w:val="20"/>
          <w:szCs w:val="20"/>
        </w:rPr>
      </w:pPr>
      <w:r w:rsidRPr="00C3144A">
        <w:rPr>
          <w:color w:val="222222"/>
          <w:sz w:val="20"/>
          <w:szCs w:val="20"/>
        </w:rPr>
        <w:t xml:space="preserve">Also the relationship between </w:t>
      </w:r>
      <w:proofErr w:type="spellStart"/>
      <w:r w:rsidRPr="00C3144A">
        <w:rPr>
          <w:color w:val="222222"/>
          <w:sz w:val="20"/>
          <w:szCs w:val="20"/>
        </w:rPr>
        <w:t>Guillain</w:t>
      </w:r>
      <w:proofErr w:type="spellEnd"/>
      <w:r w:rsidRPr="00C3144A">
        <w:rPr>
          <w:color w:val="222222"/>
          <w:sz w:val="20"/>
          <w:szCs w:val="20"/>
        </w:rPr>
        <w:t>–</w:t>
      </w:r>
      <w:proofErr w:type="spellStart"/>
      <w:r w:rsidRPr="00C3144A">
        <w:rPr>
          <w:color w:val="222222"/>
          <w:sz w:val="20"/>
          <w:szCs w:val="20"/>
        </w:rPr>
        <w:t>Barrè</w:t>
      </w:r>
      <w:proofErr w:type="spellEnd"/>
      <w:r w:rsidRPr="00C3144A">
        <w:rPr>
          <w:color w:val="222222"/>
          <w:sz w:val="20"/>
          <w:szCs w:val="20"/>
        </w:rPr>
        <w:t xml:space="preserve"> syndrome and vaccinations like after a meningococcal vaccine </w:t>
      </w:r>
      <w:r w:rsidR="000070BB">
        <w:rPr>
          <w:color w:val="222222"/>
          <w:sz w:val="20"/>
          <w:szCs w:val="20"/>
        </w:rPr>
        <w:t>[</w:t>
      </w:r>
      <w:r w:rsidRPr="00C3144A">
        <w:rPr>
          <w:color w:val="222222"/>
          <w:sz w:val="20"/>
          <w:szCs w:val="20"/>
        </w:rPr>
        <w:t>13</w:t>
      </w:r>
      <w:r w:rsidR="000070BB">
        <w:rPr>
          <w:color w:val="222222"/>
          <w:sz w:val="20"/>
          <w:szCs w:val="20"/>
        </w:rPr>
        <w:t>-</w:t>
      </w:r>
      <w:r w:rsidRPr="00C3144A">
        <w:rPr>
          <w:color w:val="222222"/>
          <w:sz w:val="20"/>
          <w:szCs w:val="20"/>
        </w:rPr>
        <w:t>15</w:t>
      </w:r>
      <w:r w:rsidR="000070BB">
        <w:rPr>
          <w:color w:val="222222"/>
          <w:sz w:val="20"/>
          <w:szCs w:val="20"/>
        </w:rPr>
        <w:t>]</w:t>
      </w:r>
      <w:r w:rsidRPr="00C3144A">
        <w:rPr>
          <w:color w:val="222222"/>
          <w:sz w:val="20"/>
          <w:szCs w:val="20"/>
        </w:rPr>
        <w:t xml:space="preserve">, influenza vaccine </w:t>
      </w:r>
      <w:r w:rsidR="000070BB">
        <w:rPr>
          <w:color w:val="222222"/>
          <w:sz w:val="20"/>
          <w:szCs w:val="20"/>
        </w:rPr>
        <w:t>[</w:t>
      </w:r>
      <w:r w:rsidRPr="00C3144A">
        <w:rPr>
          <w:color w:val="222222"/>
          <w:sz w:val="20"/>
          <w:szCs w:val="20"/>
        </w:rPr>
        <w:t>16,17</w:t>
      </w:r>
      <w:r w:rsidR="000070BB">
        <w:rPr>
          <w:color w:val="222222"/>
          <w:sz w:val="20"/>
          <w:szCs w:val="20"/>
        </w:rPr>
        <w:t>]</w:t>
      </w:r>
      <w:r w:rsidRPr="00C3144A">
        <w:rPr>
          <w:color w:val="222222"/>
          <w:sz w:val="20"/>
          <w:szCs w:val="20"/>
        </w:rPr>
        <w:t>, and others vaccine, is known.</w:t>
      </w:r>
    </w:p>
    <w:p w14:paraId="5791DF92" w14:textId="77777777" w:rsidR="002F028F" w:rsidRPr="00C3144A" w:rsidRDefault="002F028F" w:rsidP="00C3144A">
      <w:pPr>
        <w:pStyle w:val="BodyText"/>
        <w:spacing w:line="360" w:lineRule="auto"/>
        <w:ind w:left="115" w:right="138"/>
        <w:jc w:val="both"/>
        <w:rPr>
          <w:sz w:val="20"/>
          <w:szCs w:val="20"/>
        </w:rPr>
      </w:pPr>
    </w:p>
    <w:p w14:paraId="33A465C7" w14:textId="123AB6EA" w:rsidR="00940546" w:rsidRDefault="00940546" w:rsidP="00C3144A">
      <w:pPr>
        <w:pStyle w:val="BodyText"/>
        <w:spacing w:before="1" w:line="360" w:lineRule="auto"/>
        <w:ind w:left="115" w:right="130"/>
        <w:jc w:val="both"/>
        <w:rPr>
          <w:color w:val="222222"/>
          <w:sz w:val="20"/>
          <w:szCs w:val="20"/>
        </w:rPr>
      </w:pPr>
      <w:r w:rsidRPr="00C3144A">
        <w:rPr>
          <w:color w:val="222222"/>
          <w:sz w:val="20"/>
          <w:szCs w:val="20"/>
        </w:rPr>
        <w:t xml:space="preserve">We are in a pandemic context: from the first case of severe acute respiratory syndrome coronavirus 2 was reported in Wuhan, China, in December 2019, rapidly the disease spread and became a global </w:t>
      </w:r>
      <w:proofErr w:type="spellStart"/>
      <w:proofErr w:type="gramStart"/>
      <w:r w:rsidRPr="00C3144A">
        <w:rPr>
          <w:color w:val="222222"/>
          <w:sz w:val="20"/>
          <w:szCs w:val="20"/>
        </w:rPr>
        <w:t>pandemic.In</w:t>
      </w:r>
      <w:proofErr w:type="spellEnd"/>
      <w:proofErr w:type="gramEnd"/>
      <w:r w:rsidRPr="00C3144A">
        <w:rPr>
          <w:color w:val="222222"/>
          <w:sz w:val="20"/>
          <w:szCs w:val="20"/>
        </w:rPr>
        <w:t xml:space="preserve"> February 2020, the World Health Organization designated the disease COVID-19 (coronavirus disease 2019). The World Health Organization declared COVID-19 a pandemic on March 11, 2020.</w:t>
      </w:r>
    </w:p>
    <w:p w14:paraId="7187DE6F" w14:textId="77777777" w:rsidR="002F028F" w:rsidRPr="00C3144A" w:rsidRDefault="002F028F" w:rsidP="00C3144A">
      <w:pPr>
        <w:pStyle w:val="BodyText"/>
        <w:spacing w:before="1" w:line="360" w:lineRule="auto"/>
        <w:ind w:left="115" w:right="130"/>
        <w:jc w:val="both"/>
        <w:rPr>
          <w:sz w:val="20"/>
          <w:szCs w:val="20"/>
        </w:rPr>
      </w:pPr>
    </w:p>
    <w:p w14:paraId="44E15843" w14:textId="046D47B5" w:rsidR="00940546" w:rsidRDefault="00940546" w:rsidP="00C3144A">
      <w:pPr>
        <w:pStyle w:val="BodyText"/>
        <w:spacing w:before="1" w:line="360" w:lineRule="auto"/>
        <w:ind w:left="115" w:right="133"/>
        <w:jc w:val="both"/>
        <w:rPr>
          <w:color w:val="222222"/>
          <w:sz w:val="20"/>
          <w:szCs w:val="20"/>
        </w:rPr>
      </w:pPr>
      <w:r w:rsidRPr="00C3144A">
        <w:rPr>
          <w:color w:val="222222"/>
          <w:sz w:val="20"/>
          <w:szCs w:val="20"/>
        </w:rPr>
        <w:t>Covid 19 predominantly causes respiratory illness with symptoms such as myalgia, sore throat, cough, fever, anosmia and diarrhea, but sometimes also moderate to severe symptoms of acute respiratory distress syndrome, with possible evolution towards multiorgan failure.</w:t>
      </w:r>
    </w:p>
    <w:p w14:paraId="6F649623" w14:textId="77777777" w:rsidR="002F028F" w:rsidRPr="00C3144A" w:rsidRDefault="002F028F" w:rsidP="00C3144A">
      <w:pPr>
        <w:pStyle w:val="BodyText"/>
        <w:spacing w:before="1" w:line="360" w:lineRule="auto"/>
        <w:ind w:left="115" w:right="133"/>
        <w:jc w:val="both"/>
        <w:rPr>
          <w:sz w:val="20"/>
          <w:szCs w:val="20"/>
        </w:rPr>
      </w:pPr>
    </w:p>
    <w:p w14:paraId="1403DB6F" w14:textId="00E09D14" w:rsidR="00940546" w:rsidRDefault="00940546" w:rsidP="00C3144A">
      <w:pPr>
        <w:pStyle w:val="BodyText"/>
        <w:spacing w:line="360" w:lineRule="auto"/>
        <w:ind w:left="115" w:right="128"/>
        <w:jc w:val="both"/>
        <w:rPr>
          <w:sz w:val="20"/>
          <w:szCs w:val="20"/>
        </w:rPr>
      </w:pPr>
      <w:r w:rsidRPr="00C3144A">
        <w:rPr>
          <w:color w:val="222222"/>
          <w:sz w:val="20"/>
          <w:szCs w:val="20"/>
        </w:rPr>
        <w:t xml:space="preserve">Multiple neurological complications have been associated with Covid 19 infection </w:t>
      </w:r>
      <w:r w:rsidR="000070BB">
        <w:rPr>
          <w:color w:val="222222"/>
          <w:sz w:val="20"/>
          <w:szCs w:val="20"/>
        </w:rPr>
        <w:t>[</w:t>
      </w:r>
      <w:r w:rsidRPr="00C3144A">
        <w:rPr>
          <w:color w:val="222222"/>
          <w:sz w:val="20"/>
          <w:szCs w:val="20"/>
        </w:rPr>
        <w:t>18,19</w:t>
      </w:r>
      <w:r w:rsidR="000070BB">
        <w:rPr>
          <w:color w:val="222222"/>
          <w:sz w:val="20"/>
          <w:szCs w:val="20"/>
        </w:rPr>
        <w:t>]</w:t>
      </w:r>
      <w:r w:rsidRPr="00C3144A">
        <w:rPr>
          <w:color w:val="222222"/>
          <w:sz w:val="20"/>
          <w:szCs w:val="20"/>
        </w:rPr>
        <w:t xml:space="preserve">, especially in hospitalized patients: more than 80 percent of hospitalized patients have Covid-related neurological complications </w:t>
      </w:r>
      <w:r w:rsidR="000070BB">
        <w:rPr>
          <w:color w:val="222222"/>
          <w:sz w:val="20"/>
          <w:szCs w:val="20"/>
        </w:rPr>
        <w:t>[</w:t>
      </w:r>
      <w:r w:rsidRPr="00C3144A">
        <w:rPr>
          <w:color w:val="222222"/>
          <w:sz w:val="20"/>
          <w:szCs w:val="20"/>
        </w:rPr>
        <w:t>20,21</w:t>
      </w:r>
      <w:r w:rsidR="000070BB">
        <w:rPr>
          <w:color w:val="222222"/>
          <w:sz w:val="20"/>
          <w:szCs w:val="20"/>
        </w:rPr>
        <w:t>]</w:t>
      </w:r>
      <w:r w:rsidRPr="00C3144A">
        <w:rPr>
          <w:color w:val="222222"/>
          <w:sz w:val="20"/>
          <w:szCs w:val="20"/>
        </w:rPr>
        <w:t xml:space="preserve">. Among them, to </w:t>
      </w:r>
      <w:r w:rsidRPr="00C3144A">
        <w:rPr>
          <w:sz w:val="20"/>
          <w:szCs w:val="20"/>
        </w:rPr>
        <w:t xml:space="preserve">date there are many cases and series already published asserting a causal link between SARS-CoV-2 and </w:t>
      </w:r>
      <w:proofErr w:type="spellStart"/>
      <w:r w:rsidRPr="00C3144A">
        <w:rPr>
          <w:sz w:val="20"/>
          <w:szCs w:val="20"/>
        </w:rPr>
        <w:t>Guillain-Barrè</w:t>
      </w:r>
      <w:proofErr w:type="spellEnd"/>
      <w:r w:rsidRPr="00C3144A">
        <w:rPr>
          <w:sz w:val="20"/>
          <w:szCs w:val="20"/>
        </w:rPr>
        <w:t xml:space="preserve"> Syndrome </w:t>
      </w:r>
      <w:r w:rsidR="000070BB">
        <w:rPr>
          <w:sz w:val="20"/>
          <w:szCs w:val="20"/>
        </w:rPr>
        <w:t>[</w:t>
      </w:r>
      <w:r w:rsidRPr="00C3144A">
        <w:rPr>
          <w:sz w:val="20"/>
          <w:szCs w:val="20"/>
        </w:rPr>
        <w:t>22</w:t>
      </w:r>
      <w:r w:rsidR="000070BB">
        <w:rPr>
          <w:sz w:val="20"/>
          <w:szCs w:val="20"/>
        </w:rPr>
        <w:t>-</w:t>
      </w:r>
      <w:r w:rsidRPr="00C3144A">
        <w:rPr>
          <w:sz w:val="20"/>
          <w:szCs w:val="20"/>
        </w:rPr>
        <w:t>24</w:t>
      </w:r>
      <w:r w:rsidR="000070BB">
        <w:rPr>
          <w:sz w:val="20"/>
          <w:szCs w:val="20"/>
        </w:rPr>
        <w:t>]</w:t>
      </w:r>
      <w:r w:rsidRPr="00C3144A">
        <w:rPr>
          <w:sz w:val="20"/>
          <w:szCs w:val="20"/>
        </w:rPr>
        <w:t>.</w:t>
      </w:r>
    </w:p>
    <w:p w14:paraId="43F6AC28" w14:textId="77777777" w:rsidR="002F028F" w:rsidRPr="00C3144A" w:rsidRDefault="002F028F" w:rsidP="00C3144A">
      <w:pPr>
        <w:pStyle w:val="BodyText"/>
        <w:spacing w:line="360" w:lineRule="auto"/>
        <w:ind w:left="115" w:right="128"/>
        <w:jc w:val="both"/>
        <w:rPr>
          <w:sz w:val="20"/>
          <w:szCs w:val="20"/>
        </w:rPr>
      </w:pPr>
    </w:p>
    <w:p w14:paraId="7305E3AC" w14:textId="6D5AAE2D" w:rsidR="00940546" w:rsidRPr="00C3144A" w:rsidRDefault="00940546" w:rsidP="00C3144A">
      <w:pPr>
        <w:pStyle w:val="BodyText"/>
        <w:spacing w:line="360" w:lineRule="auto"/>
        <w:ind w:left="115" w:right="131"/>
        <w:jc w:val="both"/>
        <w:rPr>
          <w:sz w:val="20"/>
          <w:szCs w:val="20"/>
        </w:rPr>
      </w:pPr>
      <w:r w:rsidRPr="00C3144A">
        <w:rPr>
          <w:sz w:val="20"/>
          <w:szCs w:val="20"/>
        </w:rPr>
        <w:t xml:space="preserve">In the recent pandemic context, the start of the vaccination campaign has led to the observation of related manifestations: in this case report, we are presenting a case of vaccine-associated </w:t>
      </w:r>
      <w:proofErr w:type="spellStart"/>
      <w:r w:rsidRPr="00C3144A">
        <w:rPr>
          <w:sz w:val="20"/>
          <w:szCs w:val="20"/>
        </w:rPr>
        <w:t>Guillain</w:t>
      </w:r>
      <w:proofErr w:type="spellEnd"/>
      <w:r w:rsidRPr="00C3144A">
        <w:rPr>
          <w:sz w:val="20"/>
          <w:szCs w:val="20"/>
        </w:rPr>
        <w:t>–</w:t>
      </w:r>
      <w:proofErr w:type="spellStart"/>
      <w:r w:rsidRPr="00C3144A">
        <w:rPr>
          <w:sz w:val="20"/>
          <w:szCs w:val="20"/>
        </w:rPr>
        <w:t>Barrè</w:t>
      </w:r>
      <w:proofErr w:type="spellEnd"/>
      <w:r w:rsidRPr="00C3144A">
        <w:rPr>
          <w:sz w:val="20"/>
          <w:szCs w:val="20"/>
        </w:rPr>
        <w:t xml:space="preserve"> syndrome due to </w:t>
      </w:r>
      <w:r w:rsidR="002F028F">
        <w:rPr>
          <w:sz w:val="20"/>
          <w:szCs w:val="20"/>
        </w:rPr>
        <w:t>SARS-CoV2</w:t>
      </w:r>
      <w:r w:rsidRPr="00C3144A">
        <w:rPr>
          <w:sz w:val="20"/>
          <w:szCs w:val="20"/>
        </w:rPr>
        <w:t xml:space="preserve"> vaccine (AstraZeneca) in </w:t>
      </w:r>
      <w:proofErr w:type="gramStart"/>
      <w:r w:rsidRPr="00C3144A">
        <w:rPr>
          <w:sz w:val="20"/>
          <w:szCs w:val="20"/>
        </w:rPr>
        <w:t>a women</w:t>
      </w:r>
      <w:proofErr w:type="gramEnd"/>
      <w:r w:rsidRPr="00C3144A">
        <w:rPr>
          <w:sz w:val="20"/>
          <w:szCs w:val="20"/>
        </w:rPr>
        <w:t>, who presented with lower limb weakness and gait ataxia.</w:t>
      </w:r>
    </w:p>
    <w:p w14:paraId="2F8C086F" w14:textId="4F0D25B6" w:rsidR="00940546" w:rsidRDefault="00940546" w:rsidP="000070BB">
      <w:pPr>
        <w:pStyle w:val="Heading1"/>
        <w:tabs>
          <w:tab w:val="left" w:pos="334"/>
        </w:tabs>
        <w:spacing w:before="206" w:line="360" w:lineRule="auto"/>
        <w:ind w:left="333" w:firstLine="0"/>
        <w:jc w:val="both"/>
        <w:rPr>
          <w:color w:val="000009"/>
          <w:sz w:val="20"/>
          <w:szCs w:val="20"/>
        </w:rPr>
      </w:pPr>
      <w:bookmarkStart w:id="2" w:name="_TOC_250003"/>
      <w:r w:rsidRPr="00C3144A">
        <w:rPr>
          <w:color w:val="000009"/>
          <w:sz w:val="20"/>
          <w:szCs w:val="20"/>
        </w:rPr>
        <w:t>Case</w:t>
      </w:r>
      <w:r w:rsidRPr="00C3144A">
        <w:rPr>
          <w:color w:val="000009"/>
          <w:spacing w:val="-1"/>
          <w:sz w:val="20"/>
          <w:szCs w:val="20"/>
        </w:rPr>
        <w:t xml:space="preserve"> </w:t>
      </w:r>
      <w:bookmarkEnd w:id="2"/>
      <w:r w:rsidR="000070BB">
        <w:rPr>
          <w:color w:val="000009"/>
          <w:sz w:val="20"/>
          <w:szCs w:val="20"/>
        </w:rPr>
        <w:t>P</w:t>
      </w:r>
      <w:r w:rsidRPr="00C3144A">
        <w:rPr>
          <w:color w:val="000009"/>
          <w:sz w:val="20"/>
          <w:szCs w:val="20"/>
        </w:rPr>
        <w:t>resentation</w:t>
      </w:r>
    </w:p>
    <w:p w14:paraId="466C9F31" w14:textId="77777777" w:rsidR="008A13C3" w:rsidRPr="00C3144A" w:rsidRDefault="008A13C3" w:rsidP="000070BB">
      <w:pPr>
        <w:pStyle w:val="Heading1"/>
        <w:tabs>
          <w:tab w:val="left" w:pos="334"/>
        </w:tabs>
        <w:spacing w:before="206" w:line="360" w:lineRule="auto"/>
        <w:ind w:left="333" w:firstLine="0"/>
        <w:jc w:val="both"/>
        <w:rPr>
          <w:color w:val="000009"/>
          <w:sz w:val="20"/>
          <w:szCs w:val="20"/>
        </w:rPr>
      </w:pPr>
    </w:p>
    <w:p w14:paraId="2A2C606B" w14:textId="69375498" w:rsidR="00940546" w:rsidRDefault="00940546" w:rsidP="00C3144A">
      <w:pPr>
        <w:pStyle w:val="BodyText"/>
        <w:spacing w:line="360" w:lineRule="auto"/>
        <w:ind w:left="115" w:right="142"/>
        <w:jc w:val="both"/>
        <w:rPr>
          <w:sz w:val="20"/>
          <w:szCs w:val="20"/>
        </w:rPr>
      </w:pPr>
      <w:r w:rsidRPr="00C3144A">
        <w:rPr>
          <w:color w:val="000009"/>
          <w:sz w:val="20"/>
          <w:szCs w:val="20"/>
        </w:rPr>
        <w:t xml:space="preserve">A </w:t>
      </w:r>
      <w:r w:rsidRPr="00C3144A">
        <w:rPr>
          <w:sz w:val="20"/>
          <w:szCs w:val="20"/>
        </w:rPr>
        <w:t>69-year-old women presented to the Emergency Department with a history of back, right leg and hands pain, progressive lower limbs weakness for five days with gait disorders and imbalance.</w:t>
      </w:r>
    </w:p>
    <w:p w14:paraId="0AB53D43" w14:textId="77777777" w:rsidR="002F028F" w:rsidRPr="00C3144A" w:rsidRDefault="002F028F" w:rsidP="00C3144A">
      <w:pPr>
        <w:pStyle w:val="BodyText"/>
        <w:spacing w:line="360" w:lineRule="auto"/>
        <w:ind w:left="115" w:right="142"/>
        <w:jc w:val="both"/>
        <w:rPr>
          <w:sz w:val="20"/>
          <w:szCs w:val="20"/>
        </w:rPr>
      </w:pPr>
    </w:p>
    <w:p w14:paraId="037BB766" w14:textId="7950DE62" w:rsidR="00940546" w:rsidRDefault="00940546" w:rsidP="00C3144A">
      <w:pPr>
        <w:pStyle w:val="BodyText"/>
        <w:spacing w:line="360" w:lineRule="auto"/>
        <w:ind w:left="115"/>
        <w:jc w:val="both"/>
        <w:rPr>
          <w:sz w:val="20"/>
          <w:szCs w:val="20"/>
        </w:rPr>
      </w:pPr>
      <w:r w:rsidRPr="00C3144A">
        <w:rPr>
          <w:color w:val="000009"/>
          <w:sz w:val="20"/>
          <w:szCs w:val="20"/>
        </w:rPr>
        <w:t>A</w:t>
      </w:r>
      <w:r w:rsidRPr="00C3144A">
        <w:rPr>
          <w:sz w:val="20"/>
          <w:szCs w:val="20"/>
        </w:rPr>
        <w:t>bout 15 days prior to these symptoms, she received AstraZeneca COVID-19 vaccine.</w:t>
      </w:r>
    </w:p>
    <w:p w14:paraId="2E705522" w14:textId="77777777" w:rsidR="002F028F" w:rsidRPr="00C3144A" w:rsidRDefault="002F028F" w:rsidP="00C3144A">
      <w:pPr>
        <w:pStyle w:val="BodyText"/>
        <w:spacing w:line="360" w:lineRule="auto"/>
        <w:ind w:left="115"/>
        <w:jc w:val="both"/>
        <w:rPr>
          <w:sz w:val="20"/>
          <w:szCs w:val="20"/>
        </w:rPr>
      </w:pPr>
    </w:p>
    <w:p w14:paraId="3C378551" w14:textId="267EB2D3" w:rsidR="00940546" w:rsidRDefault="00940546" w:rsidP="00C3144A">
      <w:pPr>
        <w:pStyle w:val="BodyText"/>
        <w:spacing w:before="1" w:line="360" w:lineRule="auto"/>
        <w:ind w:left="115" w:right="141"/>
        <w:jc w:val="both"/>
        <w:rPr>
          <w:color w:val="222222"/>
          <w:sz w:val="20"/>
          <w:szCs w:val="20"/>
        </w:rPr>
      </w:pPr>
      <w:r w:rsidRPr="00C3144A">
        <w:rPr>
          <w:color w:val="222222"/>
          <w:sz w:val="20"/>
          <w:szCs w:val="20"/>
        </w:rPr>
        <w:t>Remaining past medical history was insignificant, and particularly in the past months she presented neither respiratory or gastrointestinal infections, nor dog bites or anything else.</w:t>
      </w:r>
    </w:p>
    <w:p w14:paraId="659F0857" w14:textId="77777777" w:rsidR="002F028F" w:rsidRPr="00C3144A" w:rsidRDefault="002F028F" w:rsidP="00C3144A">
      <w:pPr>
        <w:pStyle w:val="BodyText"/>
        <w:spacing w:before="1" w:line="360" w:lineRule="auto"/>
        <w:ind w:left="115" w:right="141"/>
        <w:jc w:val="both"/>
        <w:rPr>
          <w:sz w:val="20"/>
          <w:szCs w:val="20"/>
        </w:rPr>
      </w:pPr>
    </w:p>
    <w:p w14:paraId="0F9D87F5" w14:textId="77777777" w:rsidR="004E32ED" w:rsidRDefault="00940546" w:rsidP="00C3144A">
      <w:pPr>
        <w:pStyle w:val="BodyText"/>
        <w:spacing w:before="1" w:line="360" w:lineRule="auto"/>
        <w:ind w:left="115" w:right="131"/>
        <w:jc w:val="both"/>
        <w:rPr>
          <w:sz w:val="20"/>
          <w:szCs w:val="20"/>
        </w:rPr>
      </w:pPr>
      <w:r w:rsidRPr="00C3144A">
        <w:rPr>
          <w:sz w:val="20"/>
          <w:szCs w:val="20"/>
        </w:rPr>
        <w:t xml:space="preserve">On physical examination, the patient was afebrile and her vitals were: </w:t>
      </w:r>
    </w:p>
    <w:p w14:paraId="4A943C36" w14:textId="77777777" w:rsidR="004E32ED" w:rsidRDefault="004E32ED" w:rsidP="00C3144A">
      <w:pPr>
        <w:pStyle w:val="BodyText"/>
        <w:spacing w:before="1" w:line="360" w:lineRule="auto"/>
        <w:ind w:left="115" w:right="131"/>
        <w:jc w:val="both"/>
        <w:rPr>
          <w:sz w:val="20"/>
          <w:szCs w:val="20"/>
        </w:rPr>
      </w:pPr>
      <w:r>
        <w:rPr>
          <w:sz w:val="20"/>
          <w:szCs w:val="20"/>
        </w:rPr>
        <w:t xml:space="preserve">   </w:t>
      </w:r>
      <w:r w:rsidR="00940546" w:rsidRPr="00C3144A">
        <w:rPr>
          <w:sz w:val="20"/>
          <w:szCs w:val="20"/>
        </w:rPr>
        <w:t xml:space="preserve">a) Blood pressure: 190/96 mm Hg; </w:t>
      </w:r>
    </w:p>
    <w:p w14:paraId="1F75D6AA" w14:textId="77777777" w:rsidR="004E32ED" w:rsidRDefault="004E32ED" w:rsidP="00C3144A">
      <w:pPr>
        <w:pStyle w:val="BodyText"/>
        <w:spacing w:before="1" w:line="360" w:lineRule="auto"/>
        <w:ind w:left="115" w:right="131"/>
        <w:jc w:val="both"/>
        <w:rPr>
          <w:sz w:val="20"/>
          <w:szCs w:val="20"/>
        </w:rPr>
      </w:pPr>
      <w:r>
        <w:rPr>
          <w:sz w:val="20"/>
          <w:szCs w:val="20"/>
        </w:rPr>
        <w:t xml:space="preserve">   </w:t>
      </w:r>
      <w:r w:rsidR="00940546" w:rsidRPr="00C3144A">
        <w:rPr>
          <w:sz w:val="20"/>
          <w:szCs w:val="20"/>
        </w:rPr>
        <w:t xml:space="preserve">b) Respiratory rate: 18 breaths/minute; </w:t>
      </w:r>
    </w:p>
    <w:p w14:paraId="39025648" w14:textId="210FDA95" w:rsidR="00940546" w:rsidRDefault="004E32ED" w:rsidP="00C3144A">
      <w:pPr>
        <w:pStyle w:val="BodyText"/>
        <w:spacing w:before="1" w:line="360" w:lineRule="auto"/>
        <w:ind w:left="115" w:right="131"/>
        <w:jc w:val="both"/>
        <w:rPr>
          <w:sz w:val="20"/>
          <w:szCs w:val="20"/>
        </w:rPr>
      </w:pPr>
      <w:r>
        <w:rPr>
          <w:sz w:val="20"/>
          <w:szCs w:val="20"/>
        </w:rPr>
        <w:t xml:space="preserve">   </w:t>
      </w:r>
      <w:r w:rsidR="00940546" w:rsidRPr="00C3144A">
        <w:rPr>
          <w:sz w:val="20"/>
          <w:szCs w:val="20"/>
        </w:rPr>
        <w:t>c) Heart rate: 82</w:t>
      </w:r>
      <w:r w:rsidR="00940546" w:rsidRPr="00C3144A">
        <w:rPr>
          <w:spacing w:val="-5"/>
          <w:sz w:val="20"/>
          <w:szCs w:val="20"/>
        </w:rPr>
        <w:t xml:space="preserve"> </w:t>
      </w:r>
      <w:r w:rsidR="00940546" w:rsidRPr="00C3144A">
        <w:rPr>
          <w:sz w:val="20"/>
          <w:szCs w:val="20"/>
        </w:rPr>
        <w:t>bpm.</w:t>
      </w:r>
    </w:p>
    <w:p w14:paraId="78414BF5" w14:textId="77777777" w:rsidR="002F028F" w:rsidRPr="00C3144A" w:rsidRDefault="002F028F" w:rsidP="00C3144A">
      <w:pPr>
        <w:pStyle w:val="BodyText"/>
        <w:spacing w:before="1" w:line="360" w:lineRule="auto"/>
        <w:ind w:left="115" w:right="131"/>
        <w:jc w:val="both"/>
        <w:rPr>
          <w:sz w:val="20"/>
          <w:szCs w:val="20"/>
        </w:rPr>
      </w:pPr>
    </w:p>
    <w:p w14:paraId="29B4EA8A" w14:textId="1024D577" w:rsidR="00940546" w:rsidRPr="00C3144A" w:rsidRDefault="00940546" w:rsidP="00C3144A">
      <w:pPr>
        <w:pStyle w:val="BodyText"/>
        <w:spacing w:line="360" w:lineRule="auto"/>
        <w:ind w:left="115" w:right="128"/>
        <w:jc w:val="both"/>
        <w:rPr>
          <w:sz w:val="20"/>
          <w:szCs w:val="20"/>
        </w:rPr>
      </w:pPr>
      <w:r w:rsidRPr="00C3144A">
        <w:rPr>
          <w:sz w:val="20"/>
          <w:szCs w:val="20"/>
        </w:rPr>
        <w:t xml:space="preserve">Neurological examination revealed: no facial weakness and intact cranial nerves. The patient was alert, oriented in time, space and people, collaborating. Higher mental functions were in order. Motor system examination of the four limbs revealed following: normal strength except for weakness of the upper limbs at the level of the </w:t>
      </w:r>
      <w:proofErr w:type="spellStart"/>
      <w:r w:rsidRPr="00C3144A">
        <w:rPr>
          <w:sz w:val="20"/>
          <w:szCs w:val="20"/>
        </w:rPr>
        <w:t>interossees</w:t>
      </w:r>
      <w:proofErr w:type="spellEnd"/>
      <w:r w:rsidRPr="00C3144A">
        <w:rPr>
          <w:sz w:val="20"/>
          <w:szCs w:val="20"/>
        </w:rPr>
        <w:t xml:space="preserve"> and extensors of the fingers (</w:t>
      </w:r>
      <w:r w:rsidRPr="00C3144A">
        <w:rPr>
          <w:color w:val="222222"/>
          <w:sz w:val="20"/>
          <w:szCs w:val="20"/>
        </w:rPr>
        <w:t xml:space="preserve">Medical Research Council scale grading muscle strength, MRC, </w:t>
      </w:r>
      <w:r w:rsidRPr="00C3144A">
        <w:rPr>
          <w:sz w:val="20"/>
          <w:szCs w:val="20"/>
        </w:rPr>
        <w:t>4/5 bilaterally) and in the dorsiflexion of the foot (</w:t>
      </w:r>
      <w:r w:rsidRPr="00C3144A">
        <w:rPr>
          <w:color w:val="222222"/>
          <w:sz w:val="20"/>
          <w:szCs w:val="20"/>
        </w:rPr>
        <w:t xml:space="preserve">MRC </w:t>
      </w:r>
      <w:r w:rsidRPr="00C3144A">
        <w:rPr>
          <w:sz w:val="20"/>
          <w:szCs w:val="20"/>
        </w:rPr>
        <w:t xml:space="preserve">4/5 </w:t>
      </w:r>
      <w:r w:rsidRPr="00C3144A">
        <w:rPr>
          <w:sz w:val="20"/>
          <w:szCs w:val="20"/>
        </w:rPr>
        <w:lastRenderedPageBreak/>
        <w:t xml:space="preserve">bilaterally). There were no disorders </w:t>
      </w:r>
      <w:r w:rsidR="008A13C3" w:rsidRPr="00C3144A">
        <w:rPr>
          <w:sz w:val="20"/>
          <w:szCs w:val="20"/>
        </w:rPr>
        <w:t>of the</w:t>
      </w:r>
      <w:r w:rsidRPr="00C3144A">
        <w:rPr>
          <w:sz w:val="20"/>
          <w:szCs w:val="20"/>
        </w:rPr>
        <w:t xml:space="preserve"> coordination. We observed also diffuse hyporeflexia (in particular complete absence of </w:t>
      </w:r>
      <w:proofErr w:type="spellStart"/>
      <w:r w:rsidRPr="00C3144A">
        <w:rPr>
          <w:sz w:val="20"/>
          <w:szCs w:val="20"/>
        </w:rPr>
        <w:t>patellars</w:t>
      </w:r>
      <w:proofErr w:type="spellEnd"/>
      <w:r w:rsidRPr="00C3144A">
        <w:rPr>
          <w:sz w:val="20"/>
          <w:szCs w:val="20"/>
        </w:rPr>
        <w:t xml:space="preserve">, and extremely weak ankle reflexes bilaterally) and gait ataxia. The patient reported feelings of hypoesthesia in the left deltoid region, left </w:t>
      </w:r>
      <w:proofErr w:type="spellStart"/>
      <w:r w:rsidRPr="00C3144A">
        <w:rPr>
          <w:sz w:val="20"/>
          <w:szCs w:val="20"/>
        </w:rPr>
        <w:t>hemiaddome</w:t>
      </w:r>
      <w:proofErr w:type="spellEnd"/>
      <w:r w:rsidRPr="00C3144A">
        <w:rPr>
          <w:sz w:val="20"/>
          <w:szCs w:val="20"/>
        </w:rPr>
        <w:t xml:space="preserve"> and external face of the left</w:t>
      </w:r>
      <w:r w:rsidRPr="00C3144A">
        <w:rPr>
          <w:spacing w:val="1"/>
          <w:sz w:val="20"/>
          <w:szCs w:val="20"/>
        </w:rPr>
        <w:t xml:space="preserve"> </w:t>
      </w:r>
      <w:r w:rsidRPr="00C3144A">
        <w:rPr>
          <w:sz w:val="20"/>
          <w:szCs w:val="20"/>
        </w:rPr>
        <w:t>thigh.</w:t>
      </w:r>
    </w:p>
    <w:p w14:paraId="1C967691" w14:textId="7C0C014B" w:rsidR="00940546" w:rsidRDefault="00940546" w:rsidP="00C3144A">
      <w:pPr>
        <w:pStyle w:val="BodyText"/>
        <w:spacing w:line="360" w:lineRule="auto"/>
        <w:ind w:left="115"/>
        <w:jc w:val="both"/>
        <w:rPr>
          <w:sz w:val="20"/>
          <w:szCs w:val="20"/>
        </w:rPr>
      </w:pPr>
      <w:r w:rsidRPr="00C3144A">
        <w:rPr>
          <w:sz w:val="20"/>
          <w:szCs w:val="20"/>
        </w:rPr>
        <w:t>MRC sum score: 58.</w:t>
      </w:r>
    </w:p>
    <w:p w14:paraId="739A8DDC" w14:textId="77777777" w:rsidR="002F028F" w:rsidRPr="00C3144A" w:rsidRDefault="002F028F" w:rsidP="00C3144A">
      <w:pPr>
        <w:pStyle w:val="BodyText"/>
        <w:spacing w:line="360" w:lineRule="auto"/>
        <w:ind w:left="115"/>
        <w:jc w:val="both"/>
        <w:rPr>
          <w:sz w:val="20"/>
          <w:szCs w:val="20"/>
        </w:rPr>
      </w:pPr>
    </w:p>
    <w:p w14:paraId="0EEE50F3" w14:textId="1D960FB0" w:rsidR="00940546" w:rsidRDefault="00940546" w:rsidP="002F028F">
      <w:pPr>
        <w:pStyle w:val="BodyText"/>
        <w:spacing w:line="360" w:lineRule="auto"/>
        <w:ind w:left="115"/>
        <w:jc w:val="both"/>
        <w:rPr>
          <w:sz w:val="20"/>
          <w:szCs w:val="20"/>
        </w:rPr>
      </w:pPr>
      <w:r w:rsidRPr="00C3144A">
        <w:rPr>
          <w:sz w:val="20"/>
          <w:szCs w:val="20"/>
        </w:rPr>
        <w:t>GBS Disability Scale: 2. (GBS disability scale: from Plasma Exchange/</w:t>
      </w:r>
      <w:proofErr w:type="spellStart"/>
      <w:r w:rsidRPr="00C3144A">
        <w:rPr>
          <w:sz w:val="20"/>
          <w:szCs w:val="20"/>
        </w:rPr>
        <w:t>Sandoglobulin</w:t>
      </w:r>
      <w:proofErr w:type="spellEnd"/>
      <w:r w:rsidRPr="00C3144A">
        <w:rPr>
          <w:sz w:val="20"/>
          <w:szCs w:val="20"/>
        </w:rPr>
        <w:t xml:space="preserve"> GBS Trial Group, 1997). Laboratory investigations revealed hemoglobin of 15 g/dl with the hematocrit of 42,60%; PCR was 1,50 mg/dl. The other investigations carried out were: first, she performed an MRI scan of the spine with contrast agent that showed alteration of hyperintense signal in STIR with hypointense equivalent in both T1 and T2 and lively</w:t>
      </w:r>
      <w:r w:rsidR="002F028F">
        <w:rPr>
          <w:sz w:val="20"/>
          <w:szCs w:val="20"/>
        </w:rPr>
        <w:t xml:space="preserve"> </w:t>
      </w:r>
      <w:r w:rsidRPr="00C3144A">
        <w:rPr>
          <w:sz w:val="20"/>
          <w:szCs w:val="20"/>
        </w:rPr>
        <w:t xml:space="preserve">impregnation after gadolinium </w:t>
      </w:r>
      <w:proofErr w:type="spellStart"/>
      <w:r w:rsidRPr="00C3144A">
        <w:rPr>
          <w:sz w:val="20"/>
          <w:szCs w:val="20"/>
        </w:rPr>
        <w:t>ev</w:t>
      </w:r>
      <w:proofErr w:type="spellEnd"/>
      <w:r w:rsidRPr="00C3144A">
        <w:rPr>
          <w:sz w:val="20"/>
          <w:szCs w:val="20"/>
        </w:rPr>
        <w:t xml:space="preserve"> in the upper portion of the right </w:t>
      </w:r>
      <w:proofErr w:type="spellStart"/>
      <w:r w:rsidRPr="00C3144A">
        <w:rPr>
          <w:sz w:val="20"/>
          <w:szCs w:val="20"/>
        </w:rPr>
        <w:t>hemisome</w:t>
      </w:r>
      <w:proofErr w:type="spellEnd"/>
      <w:r w:rsidRPr="00C3144A">
        <w:rPr>
          <w:sz w:val="20"/>
          <w:szCs w:val="20"/>
        </w:rPr>
        <w:t xml:space="preserve"> of L4; depression of the right somatic </w:t>
      </w:r>
      <w:proofErr w:type="spellStart"/>
      <w:r w:rsidRPr="00C3144A">
        <w:rPr>
          <w:sz w:val="20"/>
          <w:szCs w:val="20"/>
        </w:rPr>
        <w:t>hemilimitant</w:t>
      </w:r>
      <w:proofErr w:type="spellEnd"/>
      <w:r w:rsidRPr="00C3144A">
        <w:rPr>
          <w:sz w:val="20"/>
          <w:szCs w:val="20"/>
        </w:rPr>
        <w:t>, which was related to edema of the bone spongy probably from vertebral collapse, also in the absence of anamnestic traumas.</w:t>
      </w:r>
    </w:p>
    <w:p w14:paraId="20E4A4C3" w14:textId="77777777" w:rsidR="002F028F" w:rsidRPr="00C3144A" w:rsidRDefault="002F028F" w:rsidP="002F028F">
      <w:pPr>
        <w:pStyle w:val="BodyText"/>
        <w:spacing w:line="360" w:lineRule="auto"/>
        <w:ind w:left="115"/>
        <w:jc w:val="both"/>
        <w:rPr>
          <w:sz w:val="20"/>
          <w:szCs w:val="20"/>
        </w:rPr>
      </w:pPr>
    </w:p>
    <w:p w14:paraId="22D4DBC2" w14:textId="30F9DDD2" w:rsidR="00940546" w:rsidRPr="00C3144A" w:rsidRDefault="00940546" w:rsidP="002F028F">
      <w:pPr>
        <w:pStyle w:val="BodyText"/>
        <w:spacing w:line="360" w:lineRule="auto"/>
        <w:ind w:left="115"/>
        <w:jc w:val="both"/>
        <w:rPr>
          <w:sz w:val="20"/>
          <w:szCs w:val="20"/>
        </w:rPr>
      </w:pPr>
      <w:r w:rsidRPr="00C3144A">
        <w:rPr>
          <w:sz w:val="20"/>
          <w:szCs w:val="20"/>
        </w:rPr>
        <w:t>Was prescribed by orthopedists a semi-rigid torso.</w:t>
      </w:r>
      <w:r w:rsidR="002F028F">
        <w:rPr>
          <w:sz w:val="20"/>
          <w:szCs w:val="20"/>
        </w:rPr>
        <w:t xml:space="preserve"> </w:t>
      </w:r>
      <w:r w:rsidRPr="00C3144A">
        <w:rPr>
          <w:sz w:val="20"/>
          <w:szCs w:val="20"/>
        </w:rPr>
        <w:t xml:space="preserve">The spine MRI showed no clear contrast enhancement of the </w:t>
      </w:r>
      <w:proofErr w:type="spellStart"/>
      <w:r w:rsidRPr="00C3144A">
        <w:rPr>
          <w:sz w:val="20"/>
          <w:szCs w:val="20"/>
        </w:rPr>
        <w:t>nerv</w:t>
      </w:r>
      <w:proofErr w:type="spellEnd"/>
      <w:r w:rsidRPr="00C3144A">
        <w:rPr>
          <w:sz w:val="20"/>
          <w:szCs w:val="20"/>
        </w:rPr>
        <w:t xml:space="preserve"> roots.</w:t>
      </w:r>
    </w:p>
    <w:p w14:paraId="5AFF698E" w14:textId="7CBF8DF0" w:rsidR="00940546" w:rsidRDefault="00940546" w:rsidP="00C3144A">
      <w:pPr>
        <w:pStyle w:val="BodyText"/>
        <w:spacing w:line="360" w:lineRule="auto"/>
        <w:ind w:left="115" w:right="131"/>
        <w:jc w:val="both"/>
        <w:rPr>
          <w:sz w:val="20"/>
          <w:szCs w:val="20"/>
        </w:rPr>
      </w:pPr>
      <w:r w:rsidRPr="00C3144A">
        <w:rPr>
          <w:sz w:val="20"/>
          <w:szCs w:val="20"/>
        </w:rPr>
        <w:t xml:space="preserve">Then, a brain MRI with contrast agent (in the emergency room she had already performed a CT scan showing </w:t>
      </w:r>
      <w:proofErr w:type="spellStart"/>
      <w:r w:rsidRPr="00C3144A">
        <w:rPr>
          <w:sz w:val="20"/>
          <w:szCs w:val="20"/>
        </w:rPr>
        <w:t>multinfartual</w:t>
      </w:r>
      <w:proofErr w:type="spellEnd"/>
      <w:r w:rsidRPr="00C3144A">
        <w:rPr>
          <w:sz w:val="20"/>
          <w:szCs w:val="20"/>
        </w:rPr>
        <w:t xml:space="preserve"> encephalopathy) showed not areas of </w:t>
      </w:r>
      <w:proofErr w:type="spellStart"/>
      <w:r w:rsidRPr="00C3144A">
        <w:rPr>
          <w:sz w:val="20"/>
          <w:szCs w:val="20"/>
        </w:rPr>
        <w:t>compatiblished</w:t>
      </w:r>
      <w:proofErr w:type="spellEnd"/>
      <w:r w:rsidRPr="00C3144A">
        <w:rPr>
          <w:sz w:val="20"/>
          <w:szCs w:val="20"/>
        </w:rPr>
        <w:t xml:space="preserve"> diffusion with recent ischemic lesion, but multiple areoles of hypersignal in T2 and FLAIR in both subcortical and subcortical white matter deep at the bilateral </w:t>
      </w:r>
      <w:proofErr w:type="spellStart"/>
      <w:r w:rsidRPr="00C3144A">
        <w:rPr>
          <w:sz w:val="20"/>
          <w:szCs w:val="20"/>
        </w:rPr>
        <w:t>fronto</w:t>
      </w:r>
      <w:proofErr w:type="spellEnd"/>
      <w:r w:rsidRPr="00C3144A">
        <w:rPr>
          <w:sz w:val="20"/>
          <w:szCs w:val="20"/>
        </w:rPr>
        <w:t>-</w:t>
      </w:r>
      <w:proofErr w:type="spellStart"/>
      <w:r w:rsidRPr="00C3144A">
        <w:rPr>
          <w:sz w:val="20"/>
          <w:szCs w:val="20"/>
        </w:rPr>
        <w:t>parieto</w:t>
      </w:r>
      <w:proofErr w:type="spellEnd"/>
      <w:r w:rsidRPr="00C3144A">
        <w:rPr>
          <w:sz w:val="20"/>
          <w:szCs w:val="20"/>
        </w:rPr>
        <w:t>-insular level with confluent appearance at the periventricular level, probable parenchymal suffering on a chronic vascular basis.</w:t>
      </w:r>
    </w:p>
    <w:p w14:paraId="5BB5296C" w14:textId="77777777" w:rsidR="002F028F" w:rsidRPr="00C3144A" w:rsidRDefault="002F028F" w:rsidP="00C3144A">
      <w:pPr>
        <w:pStyle w:val="BodyText"/>
        <w:spacing w:line="360" w:lineRule="auto"/>
        <w:ind w:left="115" w:right="131"/>
        <w:jc w:val="both"/>
        <w:rPr>
          <w:sz w:val="20"/>
          <w:szCs w:val="20"/>
        </w:rPr>
      </w:pPr>
    </w:p>
    <w:p w14:paraId="65B62462" w14:textId="6AC4FE7A" w:rsidR="00940546" w:rsidRDefault="00940546" w:rsidP="002F028F">
      <w:pPr>
        <w:pStyle w:val="BodyText"/>
        <w:spacing w:line="360" w:lineRule="auto"/>
        <w:ind w:left="115"/>
        <w:jc w:val="both"/>
        <w:rPr>
          <w:sz w:val="20"/>
          <w:szCs w:val="20"/>
        </w:rPr>
      </w:pPr>
      <w:r w:rsidRPr="00C3144A">
        <w:rPr>
          <w:sz w:val="20"/>
          <w:szCs w:val="20"/>
        </w:rPr>
        <w:t>A cardiological evaluation was performed and set antiplatelet therapy.</w:t>
      </w:r>
      <w:r w:rsidR="002F028F">
        <w:rPr>
          <w:sz w:val="20"/>
          <w:szCs w:val="20"/>
        </w:rPr>
        <w:t xml:space="preserve"> </w:t>
      </w:r>
      <w:r w:rsidRPr="00C3144A">
        <w:rPr>
          <w:sz w:val="20"/>
          <w:szCs w:val="20"/>
        </w:rPr>
        <w:t xml:space="preserve">Cerebrospinal fluid examination (CSF) was performed ten days after the onset of symptoms, revealed </w:t>
      </w:r>
      <w:proofErr w:type="gramStart"/>
      <w:r w:rsidRPr="00C3144A">
        <w:rPr>
          <w:sz w:val="20"/>
          <w:szCs w:val="20"/>
        </w:rPr>
        <w:t>clear  fluid</w:t>
      </w:r>
      <w:proofErr w:type="gramEnd"/>
      <w:r w:rsidRPr="00C3144A">
        <w:rPr>
          <w:sz w:val="20"/>
          <w:szCs w:val="20"/>
        </w:rPr>
        <w:t>, normal opening pressure, glucose 74 mg/dl (normal range: 45–100 mg/dl), proteins 0.43 g/l (normal range: 0.18–0.45 g/dl) and WBCs 1/</w:t>
      </w:r>
      <w:proofErr w:type="spellStart"/>
      <w:r w:rsidRPr="00C3144A">
        <w:rPr>
          <w:sz w:val="20"/>
          <w:szCs w:val="20"/>
        </w:rPr>
        <w:t>cmm</w:t>
      </w:r>
      <w:proofErr w:type="spellEnd"/>
      <w:r w:rsidRPr="00C3144A">
        <w:rPr>
          <w:sz w:val="20"/>
          <w:szCs w:val="20"/>
        </w:rPr>
        <w:t xml:space="preserve">: not clear </w:t>
      </w:r>
      <w:proofErr w:type="spellStart"/>
      <w:r w:rsidRPr="00C3144A">
        <w:rPr>
          <w:sz w:val="20"/>
          <w:szCs w:val="20"/>
        </w:rPr>
        <w:t>albuminocytologic</w:t>
      </w:r>
      <w:proofErr w:type="spellEnd"/>
      <w:r w:rsidRPr="00C3144A">
        <w:rPr>
          <w:sz w:val="20"/>
          <w:szCs w:val="20"/>
        </w:rPr>
        <w:t xml:space="preserve"> dissociation. Immunoblot: not oligoclonal bands in serum and liquor.</w:t>
      </w:r>
    </w:p>
    <w:p w14:paraId="22636F6E" w14:textId="77777777" w:rsidR="002F028F" w:rsidRPr="00C3144A" w:rsidRDefault="002F028F" w:rsidP="002F028F">
      <w:pPr>
        <w:pStyle w:val="BodyText"/>
        <w:spacing w:line="360" w:lineRule="auto"/>
        <w:ind w:left="115"/>
        <w:jc w:val="both"/>
        <w:rPr>
          <w:sz w:val="20"/>
          <w:szCs w:val="20"/>
        </w:rPr>
      </w:pPr>
    </w:p>
    <w:p w14:paraId="179EAC21" w14:textId="77777777" w:rsidR="00940546" w:rsidRPr="00C3144A" w:rsidRDefault="00940546" w:rsidP="00C3144A">
      <w:pPr>
        <w:pStyle w:val="BodyText"/>
        <w:spacing w:line="360" w:lineRule="auto"/>
        <w:ind w:left="115"/>
        <w:jc w:val="both"/>
        <w:rPr>
          <w:sz w:val="20"/>
          <w:szCs w:val="20"/>
        </w:rPr>
      </w:pPr>
      <w:r w:rsidRPr="00C3144A">
        <w:rPr>
          <w:sz w:val="20"/>
          <w:szCs w:val="20"/>
        </w:rPr>
        <w:t>The electrophysiological study performed on the seventh day from the onset of symptoms shows:</w:t>
      </w:r>
    </w:p>
    <w:p w14:paraId="3D3E3060" w14:textId="77777777" w:rsidR="00940546" w:rsidRPr="00C3144A" w:rsidRDefault="00940546" w:rsidP="00C3144A">
      <w:pPr>
        <w:pStyle w:val="ListParagraph"/>
        <w:numPr>
          <w:ilvl w:val="1"/>
          <w:numId w:val="3"/>
        </w:numPr>
        <w:tabs>
          <w:tab w:val="left" w:pos="836"/>
        </w:tabs>
        <w:spacing w:before="149" w:line="360" w:lineRule="auto"/>
        <w:ind w:right="133"/>
        <w:jc w:val="both"/>
        <w:rPr>
          <w:sz w:val="20"/>
          <w:szCs w:val="20"/>
        </w:rPr>
      </w:pPr>
      <w:r w:rsidRPr="00C3144A">
        <w:rPr>
          <w:sz w:val="20"/>
          <w:szCs w:val="20"/>
        </w:rPr>
        <w:t>motor alterations of the demyelinating type, increased of motor distal latency on left ulnar and median nerve and velocity reduction on median</w:t>
      </w:r>
      <w:r w:rsidRPr="00C3144A">
        <w:rPr>
          <w:spacing w:val="-5"/>
          <w:sz w:val="20"/>
          <w:szCs w:val="20"/>
        </w:rPr>
        <w:t xml:space="preserve"> </w:t>
      </w:r>
      <w:r w:rsidRPr="00C3144A">
        <w:rPr>
          <w:sz w:val="20"/>
          <w:szCs w:val="20"/>
        </w:rPr>
        <w:t>nerve;</w:t>
      </w:r>
    </w:p>
    <w:p w14:paraId="58EBEC47" w14:textId="4CBC5474" w:rsidR="00940546" w:rsidRDefault="00940546" w:rsidP="00C3144A">
      <w:pPr>
        <w:pStyle w:val="ListParagraph"/>
        <w:numPr>
          <w:ilvl w:val="1"/>
          <w:numId w:val="3"/>
        </w:numPr>
        <w:tabs>
          <w:tab w:val="left" w:pos="836"/>
        </w:tabs>
        <w:spacing w:before="102" w:line="360" w:lineRule="auto"/>
        <w:ind w:right="130"/>
        <w:jc w:val="both"/>
        <w:rPr>
          <w:sz w:val="20"/>
          <w:szCs w:val="20"/>
        </w:rPr>
      </w:pPr>
      <w:r w:rsidRPr="004E32ED">
        <w:rPr>
          <w:sz w:val="20"/>
          <w:szCs w:val="20"/>
        </w:rPr>
        <w:t>sensory alterations with a “sural sparing pattern” with amplitude reduction on left ulnar e median with normal amplitude on left sural nerve (</w:t>
      </w:r>
      <w:r w:rsidR="006D584A" w:rsidRPr="004E32ED">
        <w:rPr>
          <w:sz w:val="20"/>
          <w:szCs w:val="20"/>
        </w:rPr>
        <w:t>early-stage</w:t>
      </w:r>
      <w:r w:rsidRPr="004E32ED">
        <w:rPr>
          <w:sz w:val="20"/>
          <w:szCs w:val="20"/>
        </w:rPr>
        <w:t xml:space="preserve"> pathognomonic finding of dysimmune </w:t>
      </w:r>
      <w:r w:rsidRPr="004E32ED">
        <w:rPr>
          <w:spacing w:val="-3"/>
          <w:sz w:val="20"/>
          <w:szCs w:val="20"/>
        </w:rPr>
        <w:t xml:space="preserve">neuropathy. </w:t>
      </w:r>
      <w:r w:rsidRPr="004E32ED">
        <w:rPr>
          <w:sz w:val="20"/>
          <w:szCs w:val="20"/>
        </w:rPr>
        <w:t>It does not help discriminate between demyelinating and axonal</w:t>
      </w:r>
      <w:r w:rsidRPr="004E32ED">
        <w:rPr>
          <w:spacing w:val="-5"/>
          <w:sz w:val="20"/>
          <w:szCs w:val="20"/>
        </w:rPr>
        <w:t xml:space="preserve"> </w:t>
      </w:r>
      <w:r w:rsidRPr="004E32ED">
        <w:rPr>
          <w:sz w:val="20"/>
          <w:szCs w:val="20"/>
        </w:rPr>
        <w:t>subtypes)</w:t>
      </w:r>
      <w:r w:rsidRPr="006D584A">
        <w:rPr>
          <w:sz w:val="20"/>
          <w:szCs w:val="20"/>
          <w:highlight w:val="yellow"/>
        </w:rPr>
        <w:t>.</w:t>
      </w:r>
    </w:p>
    <w:p w14:paraId="6FB27F5C" w14:textId="77777777" w:rsidR="006D584A" w:rsidRDefault="006D584A" w:rsidP="006D584A">
      <w:pPr>
        <w:spacing w:line="360" w:lineRule="auto"/>
        <w:ind w:left="114"/>
        <w:jc w:val="both"/>
        <w:rPr>
          <w:b/>
          <w:sz w:val="20"/>
          <w:szCs w:val="20"/>
        </w:rPr>
      </w:pPr>
    </w:p>
    <w:p w14:paraId="6DD4568D" w14:textId="3F96FF00" w:rsidR="00940546" w:rsidRPr="00C3144A" w:rsidRDefault="00940546" w:rsidP="006D584A">
      <w:pPr>
        <w:spacing w:line="360" w:lineRule="auto"/>
        <w:ind w:left="114"/>
        <w:jc w:val="both"/>
        <w:rPr>
          <w:sz w:val="20"/>
          <w:szCs w:val="20"/>
        </w:rPr>
      </w:pPr>
    </w:p>
    <w:tbl>
      <w:tblPr>
        <w:tblW w:w="0" w:type="auto"/>
        <w:tblInd w:w="135" w:type="dxa"/>
        <w:tblBorders>
          <w:top w:val="single" w:sz="12" w:space="0" w:color="CDCDCD"/>
          <w:left w:val="single" w:sz="12" w:space="0" w:color="CDCDCD"/>
          <w:bottom w:val="single" w:sz="12" w:space="0" w:color="CDCDCD"/>
          <w:right w:val="single" w:sz="12" w:space="0" w:color="CDCDCD"/>
          <w:insideH w:val="single" w:sz="12" w:space="0" w:color="CDCDCD"/>
          <w:insideV w:val="single" w:sz="12" w:space="0" w:color="CDCDCD"/>
        </w:tblBorders>
        <w:tblLayout w:type="fixed"/>
        <w:tblCellMar>
          <w:left w:w="0" w:type="dxa"/>
          <w:right w:w="0" w:type="dxa"/>
        </w:tblCellMar>
        <w:tblLook w:val="01E0" w:firstRow="1" w:lastRow="1" w:firstColumn="1" w:lastColumn="1" w:noHBand="0" w:noVBand="0"/>
      </w:tblPr>
      <w:tblGrid>
        <w:gridCol w:w="2405"/>
        <w:gridCol w:w="1011"/>
        <w:gridCol w:w="977"/>
        <w:gridCol w:w="1769"/>
        <w:gridCol w:w="1447"/>
        <w:gridCol w:w="974"/>
        <w:gridCol w:w="1389"/>
      </w:tblGrid>
      <w:tr w:rsidR="00940546" w:rsidRPr="00C3144A" w14:paraId="7488316A" w14:textId="77777777" w:rsidTr="00750DB7">
        <w:trPr>
          <w:trHeight w:val="596"/>
        </w:trPr>
        <w:tc>
          <w:tcPr>
            <w:tcW w:w="2405" w:type="dxa"/>
          </w:tcPr>
          <w:p w14:paraId="06095B9C" w14:textId="77777777" w:rsidR="00940546" w:rsidRPr="00C3144A" w:rsidRDefault="00940546" w:rsidP="00C3144A">
            <w:pPr>
              <w:pStyle w:val="TableParagraph"/>
              <w:spacing w:before="160" w:line="360" w:lineRule="auto"/>
              <w:jc w:val="both"/>
              <w:rPr>
                <w:b/>
                <w:sz w:val="20"/>
                <w:szCs w:val="20"/>
              </w:rPr>
            </w:pPr>
            <w:r w:rsidRPr="00C3144A">
              <w:rPr>
                <w:b/>
                <w:sz w:val="20"/>
                <w:szCs w:val="20"/>
              </w:rPr>
              <w:t>Motor NCS</w:t>
            </w:r>
          </w:p>
        </w:tc>
        <w:tc>
          <w:tcPr>
            <w:tcW w:w="1011" w:type="dxa"/>
          </w:tcPr>
          <w:p w14:paraId="300C10DE" w14:textId="77777777" w:rsidR="00940546" w:rsidRPr="00C3144A" w:rsidRDefault="00940546" w:rsidP="00C3144A">
            <w:pPr>
              <w:pStyle w:val="TableParagraph"/>
              <w:spacing w:before="160" w:line="360" w:lineRule="auto"/>
              <w:ind w:left="21"/>
              <w:jc w:val="both"/>
              <w:rPr>
                <w:b/>
                <w:sz w:val="20"/>
                <w:szCs w:val="20"/>
              </w:rPr>
            </w:pPr>
            <w:r w:rsidRPr="00C3144A">
              <w:rPr>
                <w:b/>
                <w:sz w:val="20"/>
                <w:szCs w:val="20"/>
              </w:rPr>
              <w:t>Lat onset</w:t>
            </w:r>
          </w:p>
        </w:tc>
        <w:tc>
          <w:tcPr>
            <w:tcW w:w="977" w:type="dxa"/>
          </w:tcPr>
          <w:p w14:paraId="59EFDA08" w14:textId="77777777" w:rsidR="00940546" w:rsidRPr="00C3144A" w:rsidRDefault="00940546" w:rsidP="00C3144A">
            <w:pPr>
              <w:pStyle w:val="TableParagraph"/>
              <w:spacing w:before="160" w:line="360" w:lineRule="auto"/>
              <w:ind w:left="24" w:right="59"/>
              <w:jc w:val="both"/>
              <w:rPr>
                <w:b/>
                <w:sz w:val="20"/>
                <w:szCs w:val="20"/>
              </w:rPr>
            </w:pPr>
            <w:proofErr w:type="spellStart"/>
            <w:r w:rsidRPr="00C3144A">
              <w:rPr>
                <w:b/>
                <w:sz w:val="20"/>
                <w:szCs w:val="20"/>
              </w:rPr>
              <w:t>Dist</w:t>
            </w:r>
            <w:proofErr w:type="spellEnd"/>
          </w:p>
        </w:tc>
        <w:tc>
          <w:tcPr>
            <w:tcW w:w="1769" w:type="dxa"/>
          </w:tcPr>
          <w:p w14:paraId="618C4663" w14:textId="77777777" w:rsidR="00940546" w:rsidRPr="00C3144A" w:rsidRDefault="00940546" w:rsidP="00C3144A">
            <w:pPr>
              <w:pStyle w:val="TableParagraph"/>
              <w:spacing w:before="160" w:line="360" w:lineRule="auto"/>
              <w:ind w:left="619" w:right="600"/>
              <w:jc w:val="both"/>
              <w:rPr>
                <w:b/>
                <w:sz w:val="20"/>
                <w:szCs w:val="20"/>
              </w:rPr>
            </w:pPr>
            <w:proofErr w:type="spellStart"/>
            <w:r w:rsidRPr="00C3144A">
              <w:rPr>
                <w:b/>
                <w:sz w:val="20"/>
                <w:szCs w:val="20"/>
              </w:rPr>
              <w:t>Vcm</w:t>
            </w:r>
            <w:proofErr w:type="spellEnd"/>
          </w:p>
        </w:tc>
        <w:tc>
          <w:tcPr>
            <w:tcW w:w="1447" w:type="dxa"/>
          </w:tcPr>
          <w:p w14:paraId="5D7529DE" w14:textId="77777777" w:rsidR="00940546" w:rsidRPr="00C3144A" w:rsidRDefault="00940546" w:rsidP="00C3144A">
            <w:pPr>
              <w:pStyle w:val="TableParagraph"/>
              <w:spacing w:before="160" w:line="360" w:lineRule="auto"/>
              <w:ind w:left="276" w:right="254"/>
              <w:jc w:val="both"/>
              <w:rPr>
                <w:b/>
                <w:sz w:val="20"/>
                <w:szCs w:val="20"/>
              </w:rPr>
            </w:pPr>
            <w:r w:rsidRPr="00C3144A">
              <w:rPr>
                <w:b/>
                <w:sz w:val="20"/>
                <w:szCs w:val="20"/>
              </w:rPr>
              <w:t>Area tot</w:t>
            </w:r>
          </w:p>
        </w:tc>
        <w:tc>
          <w:tcPr>
            <w:tcW w:w="974" w:type="dxa"/>
          </w:tcPr>
          <w:p w14:paraId="72D404AF" w14:textId="77777777" w:rsidR="00940546" w:rsidRPr="00C3144A" w:rsidRDefault="00940546" w:rsidP="00C3144A">
            <w:pPr>
              <w:pStyle w:val="TableParagraph"/>
              <w:spacing w:before="21" w:line="360" w:lineRule="auto"/>
              <w:ind w:left="303" w:hanging="75"/>
              <w:jc w:val="both"/>
              <w:rPr>
                <w:b/>
                <w:sz w:val="20"/>
                <w:szCs w:val="20"/>
              </w:rPr>
            </w:pPr>
            <w:r w:rsidRPr="00C3144A">
              <w:rPr>
                <w:b/>
                <w:w w:val="95"/>
                <w:sz w:val="20"/>
                <w:szCs w:val="20"/>
              </w:rPr>
              <w:t xml:space="preserve">Amp </w:t>
            </w:r>
            <w:r w:rsidRPr="00C3144A">
              <w:rPr>
                <w:b/>
                <w:sz w:val="20"/>
                <w:szCs w:val="20"/>
              </w:rPr>
              <w:t>neg</w:t>
            </w:r>
          </w:p>
        </w:tc>
        <w:tc>
          <w:tcPr>
            <w:tcW w:w="1389" w:type="dxa"/>
          </w:tcPr>
          <w:p w14:paraId="4AC4A203" w14:textId="77777777" w:rsidR="00940546" w:rsidRPr="00C3144A" w:rsidRDefault="00940546" w:rsidP="00C3144A">
            <w:pPr>
              <w:pStyle w:val="TableParagraph"/>
              <w:spacing w:before="21" w:line="360" w:lineRule="auto"/>
              <w:ind w:left="510" w:right="191" w:hanging="276"/>
              <w:jc w:val="both"/>
              <w:rPr>
                <w:b/>
                <w:sz w:val="20"/>
                <w:szCs w:val="20"/>
              </w:rPr>
            </w:pPr>
            <w:r w:rsidRPr="00C3144A">
              <w:rPr>
                <w:b/>
                <w:sz w:val="20"/>
                <w:szCs w:val="20"/>
              </w:rPr>
              <w:t>Diff amp neg</w:t>
            </w:r>
          </w:p>
        </w:tc>
      </w:tr>
      <w:tr w:rsidR="00940546" w:rsidRPr="00C3144A" w14:paraId="3C393C42" w14:textId="77777777" w:rsidTr="00750DB7">
        <w:trPr>
          <w:trHeight w:val="277"/>
        </w:trPr>
        <w:tc>
          <w:tcPr>
            <w:tcW w:w="2405" w:type="dxa"/>
          </w:tcPr>
          <w:p w14:paraId="27DCB807" w14:textId="77777777" w:rsidR="00940546" w:rsidRPr="00C3144A" w:rsidRDefault="00940546" w:rsidP="00C3144A">
            <w:pPr>
              <w:pStyle w:val="TableParagraph"/>
              <w:spacing w:before="0" w:line="360" w:lineRule="auto"/>
              <w:ind w:left="0"/>
              <w:jc w:val="both"/>
              <w:rPr>
                <w:sz w:val="20"/>
                <w:szCs w:val="20"/>
              </w:rPr>
            </w:pPr>
          </w:p>
        </w:tc>
        <w:tc>
          <w:tcPr>
            <w:tcW w:w="1011" w:type="dxa"/>
          </w:tcPr>
          <w:p w14:paraId="598CBC95" w14:textId="77777777" w:rsidR="00940546" w:rsidRPr="00C3144A" w:rsidRDefault="00940546" w:rsidP="00C3144A">
            <w:pPr>
              <w:pStyle w:val="TableParagraph"/>
              <w:spacing w:before="22" w:line="360" w:lineRule="auto"/>
              <w:jc w:val="both"/>
              <w:rPr>
                <w:sz w:val="20"/>
                <w:szCs w:val="20"/>
              </w:rPr>
            </w:pPr>
            <w:proofErr w:type="spellStart"/>
            <w:r w:rsidRPr="00C3144A">
              <w:rPr>
                <w:sz w:val="20"/>
                <w:szCs w:val="20"/>
              </w:rPr>
              <w:t>ms</w:t>
            </w:r>
            <w:proofErr w:type="spellEnd"/>
          </w:p>
        </w:tc>
        <w:tc>
          <w:tcPr>
            <w:tcW w:w="977" w:type="dxa"/>
          </w:tcPr>
          <w:p w14:paraId="072B8A62" w14:textId="77777777" w:rsidR="00940546" w:rsidRPr="00C3144A" w:rsidRDefault="00940546" w:rsidP="00C3144A">
            <w:pPr>
              <w:pStyle w:val="TableParagraph"/>
              <w:spacing w:before="22" w:line="360" w:lineRule="auto"/>
              <w:ind w:left="74" w:right="59"/>
              <w:jc w:val="both"/>
              <w:rPr>
                <w:sz w:val="20"/>
                <w:szCs w:val="20"/>
              </w:rPr>
            </w:pPr>
            <w:r w:rsidRPr="00C3144A">
              <w:rPr>
                <w:sz w:val="20"/>
                <w:szCs w:val="20"/>
              </w:rPr>
              <w:t>mm</w:t>
            </w:r>
          </w:p>
        </w:tc>
        <w:tc>
          <w:tcPr>
            <w:tcW w:w="1769" w:type="dxa"/>
          </w:tcPr>
          <w:p w14:paraId="2C687472" w14:textId="77777777" w:rsidR="00940546" w:rsidRPr="00C3144A" w:rsidRDefault="00940546" w:rsidP="00C3144A">
            <w:pPr>
              <w:pStyle w:val="TableParagraph"/>
              <w:spacing w:before="22" w:line="360" w:lineRule="auto"/>
              <w:ind w:left="619" w:right="599"/>
              <w:jc w:val="both"/>
              <w:rPr>
                <w:sz w:val="20"/>
                <w:szCs w:val="20"/>
              </w:rPr>
            </w:pPr>
            <w:r w:rsidRPr="00C3144A">
              <w:rPr>
                <w:sz w:val="20"/>
                <w:szCs w:val="20"/>
              </w:rPr>
              <w:t>m/s</w:t>
            </w:r>
          </w:p>
        </w:tc>
        <w:tc>
          <w:tcPr>
            <w:tcW w:w="1447" w:type="dxa"/>
          </w:tcPr>
          <w:p w14:paraId="3E47FEA6" w14:textId="77777777" w:rsidR="00940546" w:rsidRPr="00C3144A" w:rsidRDefault="00940546" w:rsidP="00C3144A">
            <w:pPr>
              <w:pStyle w:val="TableParagraph"/>
              <w:spacing w:before="22" w:line="360" w:lineRule="auto"/>
              <w:ind w:left="276" w:right="254"/>
              <w:jc w:val="both"/>
              <w:rPr>
                <w:sz w:val="20"/>
                <w:szCs w:val="20"/>
              </w:rPr>
            </w:pPr>
            <w:proofErr w:type="spellStart"/>
            <w:r w:rsidRPr="00C3144A">
              <w:rPr>
                <w:w w:val="105"/>
                <w:sz w:val="20"/>
                <w:szCs w:val="20"/>
              </w:rPr>
              <w:t>mV·ms</w:t>
            </w:r>
            <w:proofErr w:type="spellEnd"/>
          </w:p>
        </w:tc>
        <w:tc>
          <w:tcPr>
            <w:tcW w:w="974" w:type="dxa"/>
          </w:tcPr>
          <w:p w14:paraId="6B00F9D9" w14:textId="77777777" w:rsidR="00940546" w:rsidRPr="00C3144A" w:rsidRDefault="00940546" w:rsidP="00C3144A">
            <w:pPr>
              <w:pStyle w:val="TableParagraph"/>
              <w:spacing w:before="22" w:line="360" w:lineRule="auto"/>
              <w:ind w:left="286" w:right="262"/>
              <w:jc w:val="both"/>
              <w:rPr>
                <w:sz w:val="20"/>
                <w:szCs w:val="20"/>
              </w:rPr>
            </w:pPr>
            <w:r w:rsidRPr="00C3144A">
              <w:rPr>
                <w:sz w:val="20"/>
                <w:szCs w:val="20"/>
              </w:rPr>
              <w:t>mV</w:t>
            </w:r>
          </w:p>
        </w:tc>
        <w:tc>
          <w:tcPr>
            <w:tcW w:w="1389" w:type="dxa"/>
          </w:tcPr>
          <w:p w14:paraId="1F7DE7FB" w14:textId="77777777" w:rsidR="00940546" w:rsidRPr="00C3144A" w:rsidRDefault="00940546" w:rsidP="00C3144A">
            <w:pPr>
              <w:pStyle w:val="TableParagraph"/>
              <w:spacing w:before="22" w:line="360" w:lineRule="auto"/>
              <w:jc w:val="both"/>
              <w:rPr>
                <w:sz w:val="20"/>
                <w:szCs w:val="20"/>
              </w:rPr>
            </w:pPr>
            <w:r w:rsidRPr="00C3144A">
              <w:rPr>
                <w:w w:val="99"/>
                <w:sz w:val="20"/>
                <w:szCs w:val="20"/>
              </w:rPr>
              <w:t>%</w:t>
            </w:r>
          </w:p>
        </w:tc>
      </w:tr>
      <w:tr w:rsidR="00940546" w:rsidRPr="00C3144A" w14:paraId="221A78B1" w14:textId="77777777" w:rsidTr="00750DB7">
        <w:trPr>
          <w:trHeight w:val="277"/>
        </w:trPr>
        <w:tc>
          <w:tcPr>
            <w:tcW w:w="9972" w:type="dxa"/>
            <w:gridSpan w:val="7"/>
          </w:tcPr>
          <w:p w14:paraId="7AC99307" w14:textId="77777777" w:rsidR="00940546" w:rsidRPr="00C3144A" w:rsidRDefault="00940546" w:rsidP="00C3144A">
            <w:pPr>
              <w:pStyle w:val="TableParagraph"/>
              <w:spacing w:before="22" w:line="360" w:lineRule="auto"/>
              <w:jc w:val="both"/>
              <w:rPr>
                <w:b/>
                <w:sz w:val="20"/>
                <w:szCs w:val="20"/>
              </w:rPr>
            </w:pPr>
            <w:proofErr w:type="spellStart"/>
            <w:r w:rsidRPr="00C3144A">
              <w:rPr>
                <w:b/>
                <w:sz w:val="20"/>
                <w:szCs w:val="20"/>
              </w:rPr>
              <w:t>Medianus</w:t>
            </w:r>
            <w:proofErr w:type="spellEnd"/>
            <w:r w:rsidRPr="00C3144A">
              <w:rPr>
                <w:b/>
                <w:sz w:val="20"/>
                <w:szCs w:val="20"/>
              </w:rPr>
              <w:t xml:space="preserve"> </w:t>
            </w:r>
            <w:proofErr w:type="spellStart"/>
            <w:r w:rsidRPr="00C3144A">
              <w:rPr>
                <w:b/>
                <w:sz w:val="20"/>
                <w:szCs w:val="20"/>
              </w:rPr>
              <w:t>Apb</w:t>
            </w:r>
            <w:proofErr w:type="spellEnd"/>
            <w:r w:rsidRPr="00C3144A">
              <w:rPr>
                <w:b/>
                <w:sz w:val="20"/>
                <w:szCs w:val="20"/>
              </w:rPr>
              <w:t xml:space="preserve"> (Left)</w:t>
            </w:r>
          </w:p>
        </w:tc>
      </w:tr>
      <w:tr w:rsidR="00940546" w:rsidRPr="00C3144A" w14:paraId="23C0A321" w14:textId="77777777" w:rsidTr="00750DB7">
        <w:trPr>
          <w:trHeight w:val="277"/>
        </w:trPr>
        <w:tc>
          <w:tcPr>
            <w:tcW w:w="2405" w:type="dxa"/>
          </w:tcPr>
          <w:p w14:paraId="6C94EF98" w14:textId="77777777" w:rsidR="00940546" w:rsidRPr="00C3144A" w:rsidRDefault="00940546" w:rsidP="00C3144A">
            <w:pPr>
              <w:pStyle w:val="TableParagraph"/>
              <w:spacing w:before="22" w:line="360" w:lineRule="auto"/>
              <w:jc w:val="both"/>
              <w:rPr>
                <w:sz w:val="20"/>
                <w:szCs w:val="20"/>
              </w:rPr>
            </w:pPr>
            <w:r w:rsidRPr="00C3144A">
              <w:rPr>
                <w:sz w:val="20"/>
                <w:szCs w:val="20"/>
              </w:rPr>
              <w:t>Wrist-ABP</w:t>
            </w:r>
          </w:p>
        </w:tc>
        <w:tc>
          <w:tcPr>
            <w:tcW w:w="1011" w:type="dxa"/>
          </w:tcPr>
          <w:p w14:paraId="28B89D7F" w14:textId="77777777" w:rsidR="00940546" w:rsidRPr="00C3144A" w:rsidRDefault="00940546" w:rsidP="00C3144A">
            <w:pPr>
              <w:pStyle w:val="TableParagraph"/>
              <w:spacing w:before="22" w:line="360" w:lineRule="auto"/>
              <w:jc w:val="both"/>
              <w:rPr>
                <w:b/>
                <w:sz w:val="20"/>
                <w:szCs w:val="20"/>
              </w:rPr>
            </w:pPr>
            <w:r w:rsidRPr="00C3144A">
              <w:rPr>
                <w:b/>
                <w:sz w:val="20"/>
                <w:szCs w:val="20"/>
              </w:rPr>
              <w:t>7,6</w:t>
            </w:r>
          </w:p>
        </w:tc>
        <w:tc>
          <w:tcPr>
            <w:tcW w:w="977" w:type="dxa"/>
          </w:tcPr>
          <w:p w14:paraId="4D7ECD9A" w14:textId="77777777" w:rsidR="00940546" w:rsidRPr="00C3144A" w:rsidRDefault="00940546" w:rsidP="00C3144A">
            <w:pPr>
              <w:pStyle w:val="TableParagraph"/>
              <w:spacing w:before="22" w:line="360" w:lineRule="auto"/>
              <w:ind w:left="74" w:right="51"/>
              <w:jc w:val="both"/>
              <w:rPr>
                <w:sz w:val="20"/>
                <w:szCs w:val="20"/>
              </w:rPr>
            </w:pPr>
            <w:r w:rsidRPr="00C3144A">
              <w:rPr>
                <w:sz w:val="20"/>
                <w:szCs w:val="20"/>
              </w:rPr>
              <w:t>70</w:t>
            </w:r>
          </w:p>
        </w:tc>
        <w:tc>
          <w:tcPr>
            <w:tcW w:w="1769" w:type="dxa"/>
          </w:tcPr>
          <w:p w14:paraId="14A27D31" w14:textId="77777777" w:rsidR="00940546" w:rsidRPr="00C3144A" w:rsidRDefault="00940546" w:rsidP="00C3144A">
            <w:pPr>
              <w:pStyle w:val="TableParagraph"/>
              <w:spacing w:before="0" w:line="360" w:lineRule="auto"/>
              <w:ind w:left="0"/>
              <w:jc w:val="both"/>
              <w:rPr>
                <w:sz w:val="20"/>
                <w:szCs w:val="20"/>
              </w:rPr>
            </w:pPr>
          </w:p>
        </w:tc>
        <w:tc>
          <w:tcPr>
            <w:tcW w:w="1447" w:type="dxa"/>
          </w:tcPr>
          <w:p w14:paraId="38A97806" w14:textId="77777777" w:rsidR="00940546" w:rsidRPr="00C3144A" w:rsidRDefault="00940546" w:rsidP="00C3144A">
            <w:pPr>
              <w:pStyle w:val="TableParagraph"/>
              <w:spacing w:before="22" w:line="360" w:lineRule="auto"/>
              <w:ind w:left="276" w:right="254"/>
              <w:jc w:val="both"/>
              <w:rPr>
                <w:sz w:val="20"/>
                <w:szCs w:val="20"/>
              </w:rPr>
            </w:pPr>
            <w:r w:rsidRPr="00C3144A">
              <w:rPr>
                <w:sz w:val="20"/>
                <w:szCs w:val="20"/>
              </w:rPr>
              <w:t>23,7</w:t>
            </w:r>
          </w:p>
        </w:tc>
        <w:tc>
          <w:tcPr>
            <w:tcW w:w="974" w:type="dxa"/>
          </w:tcPr>
          <w:p w14:paraId="586E52FF" w14:textId="77777777" w:rsidR="00940546" w:rsidRPr="00C3144A" w:rsidRDefault="00940546" w:rsidP="00C3144A">
            <w:pPr>
              <w:pStyle w:val="TableParagraph"/>
              <w:spacing w:before="22" w:line="360" w:lineRule="auto"/>
              <w:ind w:left="286" w:right="266"/>
              <w:jc w:val="both"/>
              <w:rPr>
                <w:b/>
                <w:sz w:val="20"/>
                <w:szCs w:val="20"/>
              </w:rPr>
            </w:pPr>
            <w:r w:rsidRPr="00C3144A">
              <w:rPr>
                <w:b/>
                <w:sz w:val="20"/>
                <w:szCs w:val="20"/>
              </w:rPr>
              <w:t>1,7</w:t>
            </w:r>
          </w:p>
        </w:tc>
        <w:tc>
          <w:tcPr>
            <w:tcW w:w="1389" w:type="dxa"/>
          </w:tcPr>
          <w:p w14:paraId="1B72F228" w14:textId="77777777" w:rsidR="00940546" w:rsidRPr="00C3144A" w:rsidRDefault="00940546" w:rsidP="00C3144A">
            <w:pPr>
              <w:pStyle w:val="TableParagraph"/>
              <w:spacing w:before="0" w:line="360" w:lineRule="auto"/>
              <w:ind w:left="0"/>
              <w:jc w:val="both"/>
              <w:rPr>
                <w:sz w:val="20"/>
                <w:szCs w:val="20"/>
              </w:rPr>
            </w:pPr>
          </w:p>
        </w:tc>
      </w:tr>
      <w:tr w:rsidR="00940546" w:rsidRPr="00C3144A" w14:paraId="562783A0" w14:textId="77777777" w:rsidTr="00750DB7">
        <w:trPr>
          <w:trHeight w:val="277"/>
        </w:trPr>
        <w:tc>
          <w:tcPr>
            <w:tcW w:w="2405" w:type="dxa"/>
          </w:tcPr>
          <w:p w14:paraId="303EDE1D" w14:textId="77777777" w:rsidR="00940546" w:rsidRPr="00C3144A" w:rsidRDefault="00940546" w:rsidP="00C3144A">
            <w:pPr>
              <w:pStyle w:val="TableParagraph"/>
              <w:spacing w:before="22" w:line="360" w:lineRule="auto"/>
              <w:jc w:val="both"/>
              <w:rPr>
                <w:sz w:val="20"/>
                <w:szCs w:val="20"/>
              </w:rPr>
            </w:pPr>
            <w:r w:rsidRPr="00C3144A">
              <w:rPr>
                <w:sz w:val="20"/>
                <w:szCs w:val="20"/>
              </w:rPr>
              <w:t>Elbow-Wrist</w:t>
            </w:r>
          </w:p>
        </w:tc>
        <w:tc>
          <w:tcPr>
            <w:tcW w:w="1011" w:type="dxa"/>
          </w:tcPr>
          <w:p w14:paraId="76DBD00E" w14:textId="77777777" w:rsidR="00940546" w:rsidRPr="00C3144A" w:rsidRDefault="00940546" w:rsidP="00C3144A">
            <w:pPr>
              <w:pStyle w:val="TableParagraph"/>
              <w:spacing w:before="22" w:line="360" w:lineRule="auto"/>
              <w:jc w:val="both"/>
              <w:rPr>
                <w:sz w:val="20"/>
                <w:szCs w:val="20"/>
              </w:rPr>
            </w:pPr>
            <w:r w:rsidRPr="00C3144A">
              <w:rPr>
                <w:sz w:val="20"/>
                <w:szCs w:val="20"/>
              </w:rPr>
              <w:t>12,3</w:t>
            </w:r>
          </w:p>
        </w:tc>
        <w:tc>
          <w:tcPr>
            <w:tcW w:w="977" w:type="dxa"/>
          </w:tcPr>
          <w:p w14:paraId="69C99AE6" w14:textId="77777777" w:rsidR="00940546" w:rsidRPr="00C3144A" w:rsidRDefault="00940546" w:rsidP="00C3144A">
            <w:pPr>
              <w:pStyle w:val="TableParagraph"/>
              <w:spacing w:before="22" w:line="360" w:lineRule="auto"/>
              <w:ind w:left="74" w:right="51"/>
              <w:jc w:val="both"/>
              <w:rPr>
                <w:sz w:val="20"/>
                <w:szCs w:val="20"/>
              </w:rPr>
            </w:pPr>
            <w:r w:rsidRPr="00C3144A">
              <w:rPr>
                <w:sz w:val="20"/>
                <w:szCs w:val="20"/>
              </w:rPr>
              <w:t>200</w:t>
            </w:r>
          </w:p>
        </w:tc>
        <w:tc>
          <w:tcPr>
            <w:tcW w:w="1769" w:type="dxa"/>
          </w:tcPr>
          <w:p w14:paraId="76486675" w14:textId="77777777" w:rsidR="00940546" w:rsidRPr="00C3144A" w:rsidRDefault="00940546" w:rsidP="00C3144A">
            <w:pPr>
              <w:pStyle w:val="TableParagraph"/>
              <w:spacing w:before="22" w:line="360" w:lineRule="auto"/>
              <w:ind w:left="615" w:right="600"/>
              <w:jc w:val="both"/>
              <w:rPr>
                <w:b/>
                <w:sz w:val="20"/>
                <w:szCs w:val="20"/>
              </w:rPr>
            </w:pPr>
            <w:r w:rsidRPr="00C3144A">
              <w:rPr>
                <w:b/>
                <w:sz w:val="20"/>
                <w:szCs w:val="20"/>
              </w:rPr>
              <w:t>42,3</w:t>
            </w:r>
          </w:p>
        </w:tc>
        <w:tc>
          <w:tcPr>
            <w:tcW w:w="1447" w:type="dxa"/>
          </w:tcPr>
          <w:p w14:paraId="528F8ED7" w14:textId="77777777" w:rsidR="00940546" w:rsidRPr="00C3144A" w:rsidRDefault="00940546" w:rsidP="00C3144A">
            <w:pPr>
              <w:pStyle w:val="TableParagraph"/>
              <w:spacing w:before="22" w:line="360" w:lineRule="auto"/>
              <w:ind w:left="276" w:right="254"/>
              <w:jc w:val="both"/>
              <w:rPr>
                <w:sz w:val="20"/>
                <w:szCs w:val="20"/>
              </w:rPr>
            </w:pPr>
            <w:r w:rsidRPr="00C3144A">
              <w:rPr>
                <w:sz w:val="20"/>
                <w:szCs w:val="20"/>
              </w:rPr>
              <w:t>21,1</w:t>
            </w:r>
          </w:p>
        </w:tc>
        <w:tc>
          <w:tcPr>
            <w:tcW w:w="974" w:type="dxa"/>
          </w:tcPr>
          <w:p w14:paraId="68679D27" w14:textId="77777777" w:rsidR="00940546" w:rsidRPr="00C3144A" w:rsidRDefault="00940546" w:rsidP="00C3144A">
            <w:pPr>
              <w:pStyle w:val="TableParagraph"/>
              <w:spacing w:before="22" w:line="360" w:lineRule="auto"/>
              <w:ind w:left="286" w:right="266"/>
              <w:jc w:val="both"/>
              <w:rPr>
                <w:b/>
                <w:sz w:val="20"/>
                <w:szCs w:val="20"/>
              </w:rPr>
            </w:pPr>
            <w:r w:rsidRPr="00C3144A">
              <w:rPr>
                <w:b/>
                <w:sz w:val="20"/>
                <w:szCs w:val="20"/>
              </w:rPr>
              <w:t>1,6</w:t>
            </w:r>
          </w:p>
        </w:tc>
        <w:tc>
          <w:tcPr>
            <w:tcW w:w="1389" w:type="dxa"/>
          </w:tcPr>
          <w:p w14:paraId="6A04D335" w14:textId="77777777" w:rsidR="00940546" w:rsidRPr="00C3144A" w:rsidRDefault="00940546" w:rsidP="00C3144A">
            <w:pPr>
              <w:pStyle w:val="TableParagraph"/>
              <w:spacing w:before="22" w:line="360" w:lineRule="auto"/>
              <w:ind w:left="510" w:right="491"/>
              <w:jc w:val="both"/>
              <w:rPr>
                <w:sz w:val="20"/>
                <w:szCs w:val="20"/>
              </w:rPr>
            </w:pPr>
            <w:r w:rsidRPr="00C3144A">
              <w:rPr>
                <w:sz w:val="20"/>
                <w:szCs w:val="20"/>
              </w:rPr>
              <w:t>-9,2</w:t>
            </w:r>
          </w:p>
        </w:tc>
      </w:tr>
      <w:tr w:rsidR="00940546" w:rsidRPr="00C3144A" w14:paraId="7E4DA421" w14:textId="77777777" w:rsidTr="00750DB7">
        <w:trPr>
          <w:trHeight w:val="277"/>
        </w:trPr>
        <w:tc>
          <w:tcPr>
            <w:tcW w:w="9972" w:type="dxa"/>
            <w:gridSpan w:val="7"/>
          </w:tcPr>
          <w:p w14:paraId="44F17621" w14:textId="77777777" w:rsidR="00940546" w:rsidRPr="00C3144A" w:rsidRDefault="00940546" w:rsidP="00C3144A">
            <w:pPr>
              <w:pStyle w:val="TableParagraph"/>
              <w:spacing w:before="22" w:line="360" w:lineRule="auto"/>
              <w:jc w:val="both"/>
              <w:rPr>
                <w:b/>
                <w:sz w:val="20"/>
                <w:szCs w:val="20"/>
              </w:rPr>
            </w:pPr>
            <w:r w:rsidRPr="00C3144A">
              <w:rPr>
                <w:b/>
                <w:sz w:val="20"/>
                <w:szCs w:val="20"/>
              </w:rPr>
              <w:t>Ulnaris Adm (Left)</w:t>
            </w:r>
          </w:p>
        </w:tc>
      </w:tr>
      <w:tr w:rsidR="00940546" w:rsidRPr="00C3144A" w14:paraId="62B8692A" w14:textId="77777777" w:rsidTr="00750DB7">
        <w:trPr>
          <w:trHeight w:val="322"/>
        </w:trPr>
        <w:tc>
          <w:tcPr>
            <w:tcW w:w="2405" w:type="dxa"/>
          </w:tcPr>
          <w:p w14:paraId="039E8585" w14:textId="77777777" w:rsidR="00940546" w:rsidRPr="00C3144A" w:rsidRDefault="00940546" w:rsidP="00C3144A">
            <w:pPr>
              <w:pStyle w:val="TableParagraph"/>
              <w:spacing w:before="21" w:line="360" w:lineRule="auto"/>
              <w:jc w:val="both"/>
              <w:rPr>
                <w:sz w:val="20"/>
                <w:szCs w:val="20"/>
              </w:rPr>
            </w:pPr>
            <w:r w:rsidRPr="00C3144A">
              <w:rPr>
                <w:sz w:val="20"/>
                <w:szCs w:val="20"/>
              </w:rPr>
              <w:t>Wrist-ADM</w:t>
            </w:r>
          </w:p>
        </w:tc>
        <w:tc>
          <w:tcPr>
            <w:tcW w:w="1011" w:type="dxa"/>
          </w:tcPr>
          <w:p w14:paraId="7374F8C9" w14:textId="77777777" w:rsidR="00940546" w:rsidRPr="00C3144A" w:rsidRDefault="00940546" w:rsidP="00C3144A">
            <w:pPr>
              <w:pStyle w:val="TableParagraph"/>
              <w:spacing w:before="44" w:line="360" w:lineRule="auto"/>
              <w:jc w:val="both"/>
              <w:rPr>
                <w:b/>
                <w:sz w:val="20"/>
                <w:szCs w:val="20"/>
              </w:rPr>
            </w:pPr>
            <w:r w:rsidRPr="00C3144A">
              <w:rPr>
                <w:b/>
                <w:sz w:val="20"/>
                <w:szCs w:val="20"/>
              </w:rPr>
              <w:t>5,3</w:t>
            </w:r>
          </w:p>
        </w:tc>
        <w:tc>
          <w:tcPr>
            <w:tcW w:w="977" w:type="dxa"/>
          </w:tcPr>
          <w:p w14:paraId="69791D12" w14:textId="77777777" w:rsidR="00940546" w:rsidRPr="00C3144A" w:rsidRDefault="00940546" w:rsidP="00C3144A">
            <w:pPr>
              <w:pStyle w:val="TableParagraph"/>
              <w:spacing w:before="44" w:line="360" w:lineRule="auto"/>
              <w:ind w:left="74" w:right="51"/>
              <w:jc w:val="both"/>
              <w:rPr>
                <w:sz w:val="20"/>
                <w:szCs w:val="20"/>
              </w:rPr>
            </w:pPr>
            <w:r w:rsidRPr="00C3144A">
              <w:rPr>
                <w:sz w:val="20"/>
                <w:szCs w:val="20"/>
              </w:rPr>
              <w:t>70</w:t>
            </w:r>
          </w:p>
        </w:tc>
        <w:tc>
          <w:tcPr>
            <w:tcW w:w="1769" w:type="dxa"/>
          </w:tcPr>
          <w:p w14:paraId="665D24A9" w14:textId="77777777" w:rsidR="00940546" w:rsidRPr="00C3144A" w:rsidRDefault="00940546" w:rsidP="00C3144A">
            <w:pPr>
              <w:pStyle w:val="TableParagraph"/>
              <w:spacing w:before="0" w:line="360" w:lineRule="auto"/>
              <w:ind w:left="0"/>
              <w:jc w:val="both"/>
              <w:rPr>
                <w:sz w:val="20"/>
                <w:szCs w:val="20"/>
              </w:rPr>
            </w:pPr>
          </w:p>
        </w:tc>
        <w:tc>
          <w:tcPr>
            <w:tcW w:w="1447" w:type="dxa"/>
          </w:tcPr>
          <w:p w14:paraId="1E546188" w14:textId="77777777" w:rsidR="00940546" w:rsidRPr="00C3144A" w:rsidRDefault="00940546" w:rsidP="00C3144A">
            <w:pPr>
              <w:pStyle w:val="TableParagraph"/>
              <w:spacing w:before="44" w:line="360" w:lineRule="auto"/>
              <w:ind w:left="276" w:right="254"/>
              <w:jc w:val="both"/>
              <w:rPr>
                <w:sz w:val="20"/>
                <w:szCs w:val="20"/>
              </w:rPr>
            </w:pPr>
            <w:r w:rsidRPr="00C3144A">
              <w:rPr>
                <w:sz w:val="20"/>
                <w:szCs w:val="20"/>
              </w:rPr>
              <w:t>36,3</w:t>
            </w:r>
          </w:p>
        </w:tc>
        <w:tc>
          <w:tcPr>
            <w:tcW w:w="974" w:type="dxa"/>
          </w:tcPr>
          <w:p w14:paraId="262E54BB" w14:textId="77777777" w:rsidR="00940546" w:rsidRPr="00C3144A" w:rsidRDefault="00940546" w:rsidP="00C3144A">
            <w:pPr>
              <w:pStyle w:val="TableParagraph"/>
              <w:spacing w:before="44" w:line="360" w:lineRule="auto"/>
              <w:ind w:left="286" w:right="266"/>
              <w:jc w:val="both"/>
              <w:rPr>
                <w:sz w:val="20"/>
                <w:szCs w:val="20"/>
              </w:rPr>
            </w:pPr>
            <w:r w:rsidRPr="00C3144A">
              <w:rPr>
                <w:sz w:val="20"/>
                <w:szCs w:val="20"/>
              </w:rPr>
              <w:t>4,0</w:t>
            </w:r>
          </w:p>
        </w:tc>
        <w:tc>
          <w:tcPr>
            <w:tcW w:w="1389" w:type="dxa"/>
          </w:tcPr>
          <w:p w14:paraId="5A7557DC" w14:textId="77777777" w:rsidR="00940546" w:rsidRPr="00C3144A" w:rsidRDefault="00940546" w:rsidP="00C3144A">
            <w:pPr>
              <w:pStyle w:val="TableParagraph"/>
              <w:spacing w:before="0" w:line="360" w:lineRule="auto"/>
              <w:ind w:left="0"/>
              <w:jc w:val="both"/>
              <w:rPr>
                <w:sz w:val="20"/>
                <w:szCs w:val="20"/>
              </w:rPr>
            </w:pPr>
          </w:p>
        </w:tc>
      </w:tr>
      <w:tr w:rsidR="00940546" w:rsidRPr="00C3144A" w14:paraId="27E30317" w14:textId="77777777" w:rsidTr="00750DB7">
        <w:trPr>
          <w:trHeight w:val="320"/>
        </w:trPr>
        <w:tc>
          <w:tcPr>
            <w:tcW w:w="2405" w:type="dxa"/>
          </w:tcPr>
          <w:p w14:paraId="57A74CB8" w14:textId="77777777" w:rsidR="00940546" w:rsidRPr="00C3144A" w:rsidRDefault="00940546" w:rsidP="00C3144A">
            <w:pPr>
              <w:pStyle w:val="TableParagraph"/>
              <w:spacing w:before="21" w:line="360" w:lineRule="auto"/>
              <w:jc w:val="both"/>
              <w:rPr>
                <w:sz w:val="20"/>
                <w:szCs w:val="20"/>
              </w:rPr>
            </w:pPr>
            <w:r w:rsidRPr="00C3144A">
              <w:rPr>
                <w:sz w:val="20"/>
                <w:szCs w:val="20"/>
              </w:rPr>
              <w:lastRenderedPageBreak/>
              <w:t>B. Elbow-Wrist</w:t>
            </w:r>
          </w:p>
        </w:tc>
        <w:tc>
          <w:tcPr>
            <w:tcW w:w="1011" w:type="dxa"/>
          </w:tcPr>
          <w:p w14:paraId="48370E3A" w14:textId="77777777" w:rsidR="00940546" w:rsidRPr="00C3144A" w:rsidRDefault="00940546" w:rsidP="00C3144A">
            <w:pPr>
              <w:pStyle w:val="TableParagraph"/>
              <w:spacing w:before="44" w:line="360" w:lineRule="auto"/>
              <w:jc w:val="both"/>
              <w:rPr>
                <w:sz w:val="20"/>
                <w:szCs w:val="20"/>
              </w:rPr>
            </w:pPr>
            <w:r w:rsidRPr="00C3144A">
              <w:rPr>
                <w:sz w:val="20"/>
                <w:szCs w:val="20"/>
              </w:rPr>
              <w:t>8,8</w:t>
            </w:r>
          </w:p>
        </w:tc>
        <w:tc>
          <w:tcPr>
            <w:tcW w:w="977" w:type="dxa"/>
          </w:tcPr>
          <w:p w14:paraId="0329A9AE" w14:textId="77777777" w:rsidR="00940546" w:rsidRPr="00C3144A" w:rsidRDefault="00940546" w:rsidP="00C3144A">
            <w:pPr>
              <w:pStyle w:val="TableParagraph"/>
              <w:spacing w:before="44" w:line="360" w:lineRule="auto"/>
              <w:ind w:left="74" w:right="51"/>
              <w:jc w:val="both"/>
              <w:rPr>
                <w:sz w:val="20"/>
                <w:szCs w:val="20"/>
              </w:rPr>
            </w:pPr>
            <w:r w:rsidRPr="00C3144A">
              <w:rPr>
                <w:sz w:val="20"/>
                <w:szCs w:val="20"/>
              </w:rPr>
              <w:t>210</w:t>
            </w:r>
          </w:p>
        </w:tc>
        <w:tc>
          <w:tcPr>
            <w:tcW w:w="1769" w:type="dxa"/>
          </w:tcPr>
          <w:p w14:paraId="705F2D2F" w14:textId="77777777" w:rsidR="00940546" w:rsidRPr="00C3144A" w:rsidRDefault="00940546" w:rsidP="00C3144A">
            <w:pPr>
              <w:pStyle w:val="TableParagraph"/>
              <w:spacing w:before="44" w:line="360" w:lineRule="auto"/>
              <w:ind w:left="615" w:right="600"/>
              <w:jc w:val="both"/>
              <w:rPr>
                <w:sz w:val="20"/>
                <w:szCs w:val="20"/>
              </w:rPr>
            </w:pPr>
            <w:r w:rsidRPr="00C3144A">
              <w:rPr>
                <w:sz w:val="20"/>
                <w:szCs w:val="20"/>
              </w:rPr>
              <w:t>58,8</w:t>
            </w:r>
          </w:p>
        </w:tc>
        <w:tc>
          <w:tcPr>
            <w:tcW w:w="1447" w:type="dxa"/>
          </w:tcPr>
          <w:p w14:paraId="0E554E07" w14:textId="77777777" w:rsidR="00940546" w:rsidRPr="00C3144A" w:rsidRDefault="00940546" w:rsidP="00C3144A">
            <w:pPr>
              <w:pStyle w:val="TableParagraph"/>
              <w:spacing w:before="44" w:line="360" w:lineRule="auto"/>
              <w:ind w:left="276" w:right="254"/>
              <w:jc w:val="both"/>
              <w:rPr>
                <w:sz w:val="20"/>
                <w:szCs w:val="20"/>
              </w:rPr>
            </w:pPr>
            <w:r w:rsidRPr="00C3144A">
              <w:rPr>
                <w:sz w:val="20"/>
                <w:szCs w:val="20"/>
              </w:rPr>
              <w:t>26,7</w:t>
            </w:r>
          </w:p>
        </w:tc>
        <w:tc>
          <w:tcPr>
            <w:tcW w:w="974" w:type="dxa"/>
          </w:tcPr>
          <w:p w14:paraId="799F26F3" w14:textId="77777777" w:rsidR="00940546" w:rsidRPr="00C3144A" w:rsidRDefault="00940546" w:rsidP="00C3144A">
            <w:pPr>
              <w:pStyle w:val="TableParagraph"/>
              <w:spacing w:before="44" w:line="360" w:lineRule="auto"/>
              <w:ind w:left="286" w:right="268"/>
              <w:jc w:val="both"/>
              <w:rPr>
                <w:sz w:val="20"/>
                <w:szCs w:val="20"/>
              </w:rPr>
            </w:pPr>
            <w:r w:rsidRPr="00C3144A">
              <w:rPr>
                <w:sz w:val="20"/>
                <w:szCs w:val="20"/>
              </w:rPr>
              <w:t>3,7*</w:t>
            </w:r>
          </w:p>
        </w:tc>
        <w:tc>
          <w:tcPr>
            <w:tcW w:w="1389" w:type="dxa"/>
          </w:tcPr>
          <w:p w14:paraId="69A63242" w14:textId="77777777" w:rsidR="00940546" w:rsidRPr="00C3144A" w:rsidRDefault="00940546" w:rsidP="00C3144A">
            <w:pPr>
              <w:pStyle w:val="TableParagraph"/>
              <w:spacing w:before="44" w:line="360" w:lineRule="auto"/>
              <w:ind w:left="510" w:right="491"/>
              <w:jc w:val="both"/>
              <w:rPr>
                <w:sz w:val="20"/>
                <w:szCs w:val="20"/>
              </w:rPr>
            </w:pPr>
            <w:r w:rsidRPr="00C3144A">
              <w:rPr>
                <w:sz w:val="20"/>
                <w:szCs w:val="20"/>
              </w:rPr>
              <w:t>-8,6</w:t>
            </w:r>
          </w:p>
        </w:tc>
      </w:tr>
      <w:tr w:rsidR="00940546" w:rsidRPr="00C3144A" w14:paraId="769AD399" w14:textId="77777777" w:rsidTr="00750DB7">
        <w:trPr>
          <w:trHeight w:val="322"/>
        </w:trPr>
        <w:tc>
          <w:tcPr>
            <w:tcW w:w="2405" w:type="dxa"/>
          </w:tcPr>
          <w:p w14:paraId="4AFA5F86" w14:textId="77777777" w:rsidR="00940546" w:rsidRPr="00C3144A" w:rsidRDefault="00940546" w:rsidP="00C3144A">
            <w:pPr>
              <w:pStyle w:val="TableParagraph"/>
              <w:spacing w:before="23" w:line="360" w:lineRule="auto"/>
              <w:jc w:val="both"/>
              <w:rPr>
                <w:sz w:val="20"/>
                <w:szCs w:val="20"/>
              </w:rPr>
            </w:pPr>
            <w:proofErr w:type="spellStart"/>
            <w:r w:rsidRPr="00C3144A">
              <w:rPr>
                <w:sz w:val="20"/>
                <w:szCs w:val="20"/>
              </w:rPr>
              <w:t>A.Elbow</w:t>
            </w:r>
            <w:proofErr w:type="spellEnd"/>
            <w:r w:rsidRPr="00C3144A">
              <w:rPr>
                <w:sz w:val="20"/>
                <w:szCs w:val="20"/>
              </w:rPr>
              <w:t>-B. Elbow</w:t>
            </w:r>
          </w:p>
        </w:tc>
        <w:tc>
          <w:tcPr>
            <w:tcW w:w="1011" w:type="dxa"/>
          </w:tcPr>
          <w:p w14:paraId="022F6D2D" w14:textId="77777777" w:rsidR="00940546" w:rsidRPr="00C3144A" w:rsidRDefault="00940546" w:rsidP="00C3144A">
            <w:pPr>
              <w:pStyle w:val="TableParagraph"/>
              <w:spacing w:before="44" w:line="360" w:lineRule="auto"/>
              <w:ind w:left="24"/>
              <w:jc w:val="both"/>
              <w:rPr>
                <w:sz w:val="20"/>
                <w:szCs w:val="20"/>
              </w:rPr>
            </w:pPr>
            <w:r w:rsidRPr="00C3144A">
              <w:rPr>
                <w:sz w:val="20"/>
                <w:szCs w:val="20"/>
              </w:rPr>
              <w:t>10,7</w:t>
            </w:r>
          </w:p>
        </w:tc>
        <w:tc>
          <w:tcPr>
            <w:tcW w:w="977" w:type="dxa"/>
          </w:tcPr>
          <w:p w14:paraId="707C147D" w14:textId="77777777" w:rsidR="00940546" w:rsidRPr="00C3144A" w:rsidRDefault="00940546" w:rsidP="00C3144A">
            <w:pPr>
              <w:pStyle w:val="TableParagraph"/>
              <w:spacing w:before="44" w:line="360" w:lineRule="auto"/>
              <w:ind w:left="74" w:right="56"/>
              <w:jc w:val="both"/>
              <w:rPr>
                <w:sz w:val="20"/>
                <w:szCs w:val="20"/>
              </w:rPr>
            </w:pPr>
            <w:r w:rsidRPr="00C3144A">
              <w:rPr>
                <w:sz w:val="20"/>
                <w:szCs w:val="20"/>
              </w:rPr>
              <w:t>110</w:t>
            </w:r>
          </w:p>
        </w:tc>
        <w:tc>
          <w:tcPr>
            <w:tcW w:w="1769" w:type="dxa"/>
          </w:tcPr>
          <w:p w14:paraId="632AE1A4" w14:textId="77777777" w:rsidR="00940546" w:rsidRPr="00C3144A" w:rsidRDefault="00940546" w:rsidP="00C3144A">
            <w:pPr>
              <w:pStyle w:val="TableParagraph"/>
              <w:spacing w:before="44" w:line="360" w:lineRule="auto"/>
              <w:ind w:left="615" w:right="600"/>
              <w:jc w:val="both"/>
              <w:rPr>
                <w:sz w:val="20"/>
                <w:szCs w:val="20"/>
              </w:rPr>
            </w:pPr>
            <w:r w:rsidRPr="00C3144A">
              <w:rPr>
                <w:sz w:val="20"/>
                <w:szCs w:val="20"/>
              </w:rPr>
              <w:t>57,5</w:t>
            </w:r>
          </w:p>
        </w:tc>
        <w:tc>
          <w:tcPr>
            <w:tcW w:w="1447" w:type="dxa"/>
          </w:tcPr>
          <w:p w14:paraId="7F1F4670" w14:textId="77777777" w:rsidR="00940546" w:rsidRPr="00C3144A" w:rsidRDefault="00940546" w:rsidP="00C3144A">
            <w:pPr>
              <w:pStyle w:val="TableParagraph"/>
              <w:spacing w:before="44" w:line="360" w:lineRule="auto"/>
              <w:ind w:left="276" w:right="253"/>
              <w:jc w:val="both"/>
              <w:rPr>
                <w:sz w:val="20"/>
                <w:szCs w:val="20"/>
              </w:rPr>
            </w:pPr>
            <w:r w:rsidRPr="00C3144A">
              <w:rPr>
                <w:sz w:val="20"/>
                <w:szCs w:val="20"/>
              </w:rPr>
              <w:t>28,7</w:t>
            </w:r>
          </w:p>
        </w:tc>
        <w:tc>
          <w:tcPr>
            <w:tcW w:w="974" w:type="dxa"/>
          </w:tcPr>
          <w:p w14:paraId="6DDE2C2C" w14:textId="77777777" w:rsidR="00940546" w:rsidRPr="00C3144A" w:rsidRDefault="00940546" w:rsidP="00C3144A">
            <w:pPr>
              <w:pStyle w:val="TableParagraph"/>
              <w:spacing w:before="44" w:line="360" w:lineRule="auto"/>
              <w:ind w:left="286" w:right="268"/>
              <w:jc w:val="both"/>
              <w:rPr>
                <w:sz w:val="20"/>
                <w:szCs w:val="20"/>
              </w:rPr>
            </w:pPr>
            <w:r w:rsidRPr="00C3144A">
              <w:rPr>
                <w:sz w:val="20"/>
                <w:szCs w:val="20"/>
              </w:rPr>
              <w:t>3,8*</w:t>
            </w:r>
          </w:p>
        </w:tc>
        <w:tc>
          <w:tcPr>
            <w:tcW w:w="1389" w:type="dxa"/>
          </w:tcPr>
          <w:p w14:paraId="7F518CFD" w14:textId="77777777" w:rsidR="00940546" w:rsidRPr="00C3144A" w:rsidRDefault="00940546" w:rsidP="00C3144A">
            <w:pPr>
              <w:pStyle w:val="TableParagraph"/>
              <w:spacing w:before="44" w:line="360" w:lineRule="auto"/>
              <w:ind w:left="510" w:right="488"/>
              <w:jc w:val="both"/>
              <w:rPr>
                <w:sz w:val="20"/>
                <w:szCs w:val="20"/>
              </w:rPr>
            </w:pPr>
            <w:r w:rsidRPr="00C3144A">
              <w:rPr>
                <w:sz w:val="20"/>
                <w:szCs w:val="20"/>
              </w:rPr>
              <w:t>4,4</w:t>
            </w:r>
          </w:p>
        </w:tc>
      </w:tr>
      <w:tr w:rsidR="00940546" w:rsidRPr="00C3144A" w14:paraId="23C5D6E9" w14:textId="77777777" w:rsidTr="00750DB7">
        <w:trPr>
          <w:trHeight w:val="277"/>
        </w:trPr>
        <w:tc>
          <w:tcPr>
            <w:tcW w:w="9972" w:type="dxa"/>
            <w:gridSpan w:val="7"/>
          </w:tcPr>
          <w:p w14:paraId="2CB48101" w14:textId="77777777" w:rsidR="00940546" w:rsidRPr="00C3144A" w:rsidRDefault="00940546" w:rsidP="00C3144A">
            <w:pPr>
              <w:pStyle w:val="TableParagraph"/>
              <w:spacing w:before="22" w:line="360" w:lineRule="auto"/>
              <w:jc w:val="both"/>
              <w:rPr>
                <w:b/>
                <w:sz w:val="20"/>
                <w:szCs w:val="20"/>
              </w:rPr>
            </w:pPr>
            <w:r w:rsidRPr="00C3144A">
              <w:rPr>
                <w:b/>
                <w:sz w:val="20"/>
                <w:szCs w:val="20"/>
              </w:rPr>
              <w:t>Tibialis Ah (Left)</w:t>
            </w:r>
          </w:p>
        </w:tc>
      </w:tr>
      <w:tr w:rsidR="00940546" w:rsidRPr="00C3144A" w14:paraId="5D1D9E04" w14:textId="77777777" w:rsidTr="00750DB7">
        <w:trPr>
          <w:trHeight w:val="322"/>
        </w:trPr>
        <w:tc>
          <w:tcPr>
            <w:tcW w:w="2405" w:type="dxa"/>
          </w:tcPr>
          <w:p w14:paraId="77D2706C" w14:textId="77777777" w:rsidR="00940546" w:rsidRPr="00C3144A" w:rsidRDefault="00940546" w:rsidP="00C3144A">
            <w:pPr>
              <w:pStyle w:val="TableParagraph"/>
              <w:spacing w:before="21" w:line="360" w:lineRule="auto"/>
              <w:jc w:val="both"/>
              <w:rPr>
                <w:sz w:val="20"/>
                <w:szCs w:val="20"/>
              </w:rPr>
            </w:pPr>
            <w:r w:rsidRPr="00C3144A">
              <w:rPr>
                <w:sz w:val="20"/>
                <w:szCs w:val="20"/>
              </w:rPr>
              <w:t>Ankle-AH</w:t>
            </w:r>
          </w:p>
        </w:tc>
        <w:tc>
          <w:tcPr>
            <w:tcW w:w="1011" w:type="dxa"/>
          </w:tcPr>
          <w:p w14:paraId="5F2FDFE2" w14:textId="77777777" w:rsidR="00940546" w:rsidRPr="00C3144A" w:rsidRDefault="00940546" w:rsidP="00C3144A">
            <w:pPr>
              <w:pStyle w:val="TableParagraph"/>
              <w:spacing w:before="44" w:line="360" w:lineRule="auto"/>
              <w:ind w:left="24"/>
              <w:jc w:val="both"/>
              <w:rPr>
                <w:sz w:val="20"/>
                <w:szCs w:val="20"/>
              </w:rPr>
            </w:pPr>
            <w:r w:rsidRPr="00C3144A">
              <w:rPr>
                <w:sz w:val="20"/>
                <w:szCs w:val="20"/>
              </w:rPr>
              <w:t>5,8</w:t>
            </w:r>
          </w:p>
        </w:tc>
        <w:tc>
          <w:tcPr>
            <w:tcW w:w="977" w:type="dxa"/>
          </w:tcPr>
          <w:p w14:paraId="4AACDCA8" w14:textId="77777777" w:rsidR="00940546" w:rsidRPr="00C3144A" w:rsidRDefault="00940546" w:rsidP="00C3144A">
            <w:pPr>
              <w:pStyle w:val="TableParagraph"/>
              <w:spacing w:before="44" w:line="360" w:lineRule="auto"/>
              <w:ind w:left="74" w:right="51"/>
              <w:jc w:val="both"/>
              <w:rPr>
                <w:sz w:val="20"/>
                <w:szCs w:val="20"/>
              </w:rPr>
            </w:pPr>
            <w:r w:rsidRPr="00C3144A">
              <w:rPr>
                <w:sz w:val="20"/>
                <w:szCs w:val="20"/>
              </w:rPr>
              <w:t>90</w:t>
            </w:r>
          </w:p>
        </w:tc>
        <w:tc>
          <w:tcPr>
            <w:tcW w:w="1769" w:type="dxa"/>
          </w:tcPr>
          <w:p w14:paraId="649A0706" w14:textId="77777777" w:rsidR="00940546" w:rsidRPr="00C3144A" w:rsidRDefault="00940546" w:rsidP="00C3144A">
            <w:pPr>
              <w:pStyle w:val="TableParagraph"/>
              <w:spacing w:before="0" w:line="360" w:lineRule="auto"/>
              <w:ind w:left="0"/>
              <w:jc w:val="both"/>
              <w:rPr>
                <w:sz w:val="20"/>
                <w:szCs w:val="20"/>
              </w:rPr>
            </w:pPr>
          </w:p>
        </w:tc>
        <w:tc>
          <w:tcPr>
            <w:tcW w:w="1447" w:type="dxa"/>
          </w:tcPr>
          <w:p w14:paraId="040C63E6" w14:textId="77777777" w:rsidR="00940546" w:rsidRPr="00C3144A" w:rsidRDefault="00940546" w:rsidP="00C3144A">
            <w:pPr>
              <w:pStyle w:val="TableParagraph"/>
              <w:spacing w:before="44" w:line="360" w:lineRule="auto"/>
              <w:ind w:left="276" w:right="253"/>
              <w:jc w:val="both"/>
              <w:rPr>
                <w:sz w:val="20"/>
                <w:szCs w:val="20"/>
              </w:rPr>
            </w:pPr>
            <w:r w:rsidRPr="00C3144A">
              <w:rPr>
                <w:sz w:val="20"/>
                <w:szCs w:val="20"/>
              </w:rPr>
              <w:t>55,5</w:t>
            </w:r>
          </w:p>
        </w:tc>
        <w:tc>
          <w:tcPr>
            <w:tcW w:w="974" w:type="dxa"/>
          </w:tcPr>
          <w:p w14:paraId="6A61258D" w14:textId="77777777" w:rsidR="00940546" w:rsidRPr="00C3144A" w:rsidRDefault="00940546" w:rsidP="00C3144A">
            <w:pPr>
              <w:pStyle w:val="TableParagraph"/>
              <w:spacing w:before="44" w:line="360" w:lineRule="auto"/>
              <w:ind w:left="286" w:right="265"/>
              <w:jc w:val="both"/>
              <w:rPr>
                <w:sz w:val="20"/>
                <w:szCs w:val="20"/>
              </w:rPr>
            </w:pPr>
            <w:r w:rsidRPr="00C3144A">
              <w:rPr>
                <w:sz w:val="20"/>
                <w:szCs w:val="20"/>
              </w:rPr>
              <w:t>9,9</w:t>
            </w:r>
          </w:p>
        </w:tc>
        <w:tc>
          <w:tcPr>
            <w:tcW w:w="1389" w:type="dxa"/>
          </w:tcPr>
          <w:p w14:paraId="2BEA7880" w14:textId="77777777" w:rsidR="00940546" w:rsidRPr="00C3144A" w:rsidRDefault="00940546" w:rsidP="00C3144A">
            <w:pPr>
              <w:pStyle w:val="TableParagraph"/>
              <w:spacing w:before="0" w:line="360" w:lineRule="auto"/>
              <w:ind w:left="0"/>
              <w:jc w:val="both"/>
              <w:rPr>
                <w:sz w:val="20"/>
                <w:szCs w:val="20"/>
              </w:rPr>
            </w:pPr>
          </w:p>
        </w:tc>
      </w:tr>
      <w:tr w:rsidR="00940546" w:rsidRPr="00C3144A" w14:paraId="50F52F68" w14:textId="77777777" w:rsidTr="00750DB7">
        <w:trPr>
          <w:trHeight w:val="320"/>
        </w:trPr>
        <w:tc>
          <w:tcPr>
            <w:tcW w:w="2405" w:type="dxa"/>
          </w:tcPr>
          <w:p w14:paraId="5443DF49" w14:textId="77777777" w:rsidR="00940546" w:rsidRPr="00C3144A" w:rsidRDefault="00940546" w:rsidP="00C3144A">
            <w:pPr>
              <w:pStyle w:val="TableParagraph"/>
              <w:spacing w:before="21" w:line="360" w:lineRule="auto"/>
              <w:jc w:val="both"/>
              <w:rPr>
                <w:sz w:val="20"/>
                <w:szCs w:val="20"/>
              </w:rPr>
            </w:pPr>
            <w:r w:rsidRPr="00C3144A">
              <w:rPr>
                <w:sz w:val="20"/>
                <w:szCs w:val="20"/>
              </w:rPr>
              <w:t>Knee-Ankle</w:t>
            </w:r>
          </w:p>
        </w:tc>
        <w:tc>
          <w:tcPr>
            <w:tcW w:w="1011" w:type="dxa"/>
          </w:tcPr>
          <w:p w14:paraId="4AD9D992" w14:textId="77777777" w:rsidR="00940546" w:rsidRPr="00C3144A" w:rsidRDefault="00940546" w:rsidP="00C3144A">
            <w:pPr>
              <w:pStyle w:val="TableParagraph"/>
              <w:spacing w:before="44" w:line="360" w:lineRule="auto"/>
              <w:ind w:left="24"/>
              <w:jc w:val="both"/>
              <w:rPr>
                <w:sz w:val="20"/>
                <w:szCs w:val="20"/>
              </w:rPr>
            </w:pPr>
            <w:r w:rsidRPr="00C3144A">
              <w:rPr>
                <w:sz w:val="20"/>
                <w:szCs w:val="20"/>
              </w:rPr>
              <w:t>13,9</w:t>
            </w:r>
          </w:p>
        </w:tc>
        <w:tc>
          <w:tcPr>
            <w:tcW w:w="977" w:type="dxa"/>
          </w:tcPr>
          <w:p w14:paraId="227C9F04" w14:textId="77777777" w:rsidR="00940546" w:rsidRPr="00C3144A" w:rsidRDefault="00940546" w:rsidP="00C3144A">
            <w:pPr>
              <w:pStyle w:val="TableParagraph"/>
              <w:spacing w:before="44" w:line="360" w:lineRule="auto"/>
              <w:ind w:left="74" w:right="51"/>
              <w:jc w:val="both"/>
              <w:rPr>
                <w:sz w:val="20"/>
                <w:szCs w:val="20"/>
              </w:rPr>
            </w:pPr>
            <w:r w:rsidRPr="00C3144A">
              <w:rPr>
                <w:sz w:val="20"/>
                <w:szCs w:val="20"/>
              </w:rPr>
              <w:t>370</w:t>
            </w:r>
          </w:p>
        </w:tc>
        <w:tc>
          <w:tcPr>
            <w:tcW w:w="1769" w:type="dxa"/>
          </w:tcPr>
          <w:p w14:paraId="21ED224A" w14:textId="77777777" w:rsidR="00940546" w:rsidRPr="00C3144A" w:rsidRDefault="00940546" w:rsidP="00C3144A">
            <w:pPr>
              <w:pStyle w:val="TableParagraph"/>
              <w:spacing w:before="44" w:line="360" w:lineRule="auto"/>
              <w:ind w:left="615" w:right="600"/>
              <w:jc w:val="both"/>
              <w:rPr>
                <w:sz w:val="20"/>
                <w:szCs w:val="20"/>
              </w:rPr>
            </w:pPr>
            <w:r w:rsidRPr="00C3144A">
              <w:rPr>
                <w:sz w:val="20"/>
                <w:szCs w:val="20"/>
              </w:rPr>
              <w:t>45,3</w:t>
            </w:r>
          </w:p>
        </w:tc>
        <w:tc>
          <w:tcPr>
            <w:tcW w:w="1447" w:type="dxa"/>
          </w:tcPr>
          <w:p w14:paraId="21492F73" w14:textId="77777777" w:rsidR="00940546" w:rsidRPr="00C3144A" w:rsidRDefault="00940546" w:rsidP="00C3144A">
            <w:pPr>
              <w:pStyle w:val="TableParagraph"/>
              <w:spacing w:before="44" w:line="360" w:lineRule="auto"/>
              <w:ind w:left="276" w:right="253"/>
              <w:jc w:val="both"/>
              <w:rPr>
                <w:sz w:val="20"/>
                <w:szCs w:val="20"/>
              </w:rPr>
            </w:pPr>
            <w:r w:rsidRPr="00C3144A">
              <w:rPr>
                <w:sz w:val="20"/>
                <w:szCs w:val="20"/>
              </w:rPr>
              <w:t>54,1</w:t>
            </w:r>
          </w:p>
        </w:tc>
        <w:tc>
          <w:tcPr>
            <w:tcW w:w="974" w:type="dxa"/>
          </w:tcPr>
          <w:p w14:paraId="0FAE1BF5" w14:textId="77777777" w:rsidR="00940546" w:rsidRPr="00C3144A" w:rsidRDefault="00940546" w:rsidP="00C3144A">
            <w:pPr>
              <w:pStyle w:val="TableParagraph"/>
              <w:spacing w:before="44" w:line="360" w:lineRule="auto"/>
              <w:ind w:left="286" w:right="265"/>
              <w:jc w:val="both"/>
              <w:rPr>
                <w:sz w:val="20"/>
                <w:szCs w:val="20"/>
              </w:rPr>
            </w:pPr>
            <w:r w:rsidRPr="00C3144A">
              <w:rPr>
                <w:sz w:val="20"/>
                <w:szCs w:val="20"/>
              </w:rPr>
              <w:t>8,7</w:t>
            </w:r>
          </w:p>
        </w:tc>
        <w:tc>
          <w:tcPr>
            <w:tcW w:w="1389" w:type="dxa"/>
          </w:tcPr>
          <w:p w14:paraId="25733CEE" w14:textId="77777777" w:rsidR="00940546" w:rsidRPr="00C3144A" w:rsidRDefault="00940546" w:rsidP="00C3144A">
            <w:pPr>
              <w:pStyle w:val="TableParagraph"/>
              <w:spacing w:before="0" w:line="360" w:lineRule="auto"/>
              <w:ind w:left="0"/>
              <w:jc w:val="both"/>
              <w:rPr>
                <w:sz w:val="20"/>
                <w:szCs w:val="20"/>
              </w:rPr>
            </w:pPr>
          </w:p>
        </w:tc>
      </w:tr>
    </w:tbl>
    <w:p w14:paraId="6928846B" w14:textId="77777777" w:rsidR="00940546" w:rsidRPr="00C3144A" w:rsidRDefault="00940546" w:rsidP="00C3144A">
      <w:pPr>
        <w:pStyle w:val="BodyText"/>
        <w:spacing w:line="360" w:lineRule="auto"/>
        <w:jc w:val="both"/>
        <w:rPr>
          <w:sz w:val="20"/>
          <w:szCs w:val="20"/>
        </w:rPr>
      </w:pPr>
    </w:p>
    <w:p w14:paraId="3133B012" w14:textId="4ABCC5B5" w:rsidR="002F028F" w:rsidRDefault="00940546" w:rsidP="002F028F">
      <w:pPr>
        <w:spacing w:line="360" w:lineRule="auto"/>
        <w:ind w:left="115"/>
        <w:jc w:val="both"/>
        <w:rPr>
          <w:bCs/>
          <w:sz w:val="20"/>
          <w:szCs w:val="20"/>
        </w:rPr>
      </w:pPr>
      <w:r w:rsidRPr="002F028F">
        <w:rPr>
          <w:b/>
          <w:sz w:val="20"/>
          <w:szCs w:val="20"/>
          <w:vertAlign w:val="superscript"/>
        </w:rPr>
        <w:t>*</w:t>
      </w:r>
      <w:r w:rsidRPr="004E32ED">
        <w:rPr>
          <w:bCs/>
          <w:sz w:val="20"/>
          <w:szCs w:val="20"/>
        </w:rPr>
        <w:t xml:space="preserve">Note that left ulnar CMAP amplitude below elbow is slightly smaller than above </w:t>
      </w:r>
      <w:proofErr w:type="spellStart"/>
      <w:r w:rsidRPr="004E32ED">
        <w:rPr>
          <w:bCs/>
          <w:sz w:val="20"/>
          <w:szCs w:val="20"/>
        </w:rPr>
        <w:t>elobow</w:t>
      </w:r>
      <w:proofErr w:type="spellEnd"/>
      <w:r w:rsidRPr="004E32ED">
        <w:rPr>
          <w:bCs/>
          <w:sz w:val="20"/>
          <w:szCs w:val="20"/>
        </w:rPr>
        <w:t xml:space="preserve">. It may be due to CMAP instability or </w:t>
      </w:r>
      <w:proofErr w:type="spellStart"/>
      <w:r w:rsidRPr="004E32ED">
        <w:rPr>
          <w:bCs/>
          <w:sz w:val="20"/>
          <w:szCs w:val="20"/>
        </w:rPr>
        <w:t>submassimal</w:t>
      </w:r>
      <w:proofErr w:type="spellEnd"/>
      <w:r w:rsidRPr="004E32ED">
        <w:rPr>
          <w:bCs/>
          <w:sz w:val="20"/>
          <w:szCs w:val="20"/>
        </w:rPr>
        <w:t xml:space="preserve"> stimulus</w:t>
      </w:r>
    </w:p>
    <w:p w14:paraId="46F99C80" w14:textId="68140A8D" w:rsidR="006D584A" w:rsidRDefault="006D584A" w:rsidP="002F028F">
      <w:pPr>
        <w:spacing w:line="360" w:lineRule="auto"/>
        <w:ind w:left="115"/>
        <w:jc w:val="both"/>
        <w:rPr>
          <w:bCs/>
          <w:sz w:val="20"/>
          <w:szCs w:val="20"/>
        </w:rPr>
      </w:pPr>
    </w:p>
    <w:p w14:paraId="6B3A1CD1" w14:textId="6BF4957A" w:rsidR="007178EF" w:rsidRDefault="007178EF" w:rsidP="007178EF">
      <w:pPr>
        <w:spacing w:line="360" w:lineRule="auto"/>
        <w:ind w:left="115"/>
        <w:jc w:val="both"/>
        <w:rPr>
          <w:b/>
          <w:sz w:val="20"/>
          <w:szCs w:val="20"/>
        </w:rPr>
      </w:pPr>
      <w:r w:rsidRPr="007178EF">
        <w:rPr>
          <w:b/>
          <w:sz w:val="20"/>
          <w:szCs w:val="20"/>
          <w:highlight w:val="yellow"/>
        </w:rPr>
        <w:t>Figures 1, 2 and 3 Insert Here</w:t>
      </w:r>
    </w:p>
    <w:p w14:paraId="21174E67" w14:textId="16277A3F" w:rsidR="00515173" w:rsidRDefault="00515173" w:rsidP="007178EF">
      <w:pPr>
        <w:spacing w:line="360" w:lineRule="auto"/>
        <w:ind w:left="115"/>
        <w:jc w:val="both"/>
        <w:rPr>
          <w:b/>
          <w:sz w:val="20"/>
          <w:szCs w:val="20"/>
        </w:rPr>
      </w:pPr>
    </w:p>
    <w:p w14:paraId="04DDE0C7" w14:textId="77777777" w:rsidR="007178EF" w:rsidRDefault="007178EF" w:rsidP="007178EF">
      <w:pPr>
        <w:spacing w:line="360" w:lineRule="auto"/>
        <w:ind w:left="115"/>
        <w:jc w:val="both"/>
        <w:rPr>
          <w:b/>
          <w:sz w:val="20"/>
          <w:szCs w:val="20"/>
        </w:rPr>
      </w:pPr>
    </w:p>
    <w:tbl>
      <w:tblPr>
        <w:tblW w:w="0" w:type="auto"/>
        <w:tblInd w:w="135" w:type="dxa"/>
        <w:tblBorders>
          <w:top w:val="single" w:sz="12" w:space="0" w:color="CDCDCD"/>
          <w:left w:val="single" w:sz="12" w:space="0" w:color="CDCDCD"/>
          <w:bottom w:val="single" w:sz="12" w:space="0" w:color="CDCDCD"/>
          <w:right w:val="single" w:sz="12" w:space="0" w:color="CDCDCD"/>
          <w:insideH w:val="single" w:sz="12" w:space="0" w:color="CDCDCD"/>
          <w:insideV w:val="single" w:sz="12" w:space="0" w:color="CDCDCD"/>
        </w:tblBorders>
        <w:tblLayout w:type="fixed"/>
        <w:tblCellMar>
          <w:left w:w="0" w:type="dxa"/>
          <w:right w:w="0" w:type="dxa"/>
        </w:tblCellMar>
        <w:tblLook w:val="01E0" w:firstRow="1" w:lastRow="1" w:firstColumn="1" w:lastColumn="1" w:noHBand="0" w:noVBand="0"/>
      </w:tblPr>
      <w:tblGrid>
        <w:gridCol w:w="3437"/>
        <w:gridCol w:w="833"/>
        <w:gridCol w:w="1433"/>
        <w:gridCol w:w="1836"/>
        <w:gridCol w:w="929"/>
        <w:gridCol w:w="1505"/>
      </w:tblGrid>
      <w:tr w:rsidR="00940546" w:rsidRPr="00C3144A" w14:paraId="68517F7E" w14:textId="77777777" w:rsidTr="00750DB7">
        <w:trPr>
          <w:trHeight w:val="274"/>
        </w:trPr>
        <w:tc>
          <w:tcPr>
            <w:tcW w:w="3437" w:type="dxa"/>
          </w:tcPr>
          <w:p w14:paraId="4E06E01F" w14:textId="77777777" w:rsidR="00940546" w:rsidRPr="00C3144A" w:rsidRDefault="00940546" w:rsidP="00C3144A">
            <w:pPr>
              <w:pStyle w:val="TableParagraph"/>
              <w:spacing w:before="15" w:line="360" w:lineRule="auto"/>
              <w:jc w:val="both"/>
              <w:rPr>
                <w:b/>
                <w:sz w:val="20"/>
                <w:szCs w:val="20"/>
              </w:rPr>
            </w:pPr>
            <w:r w:rsidRPr="00C3144A">
              <w:rPr>
                <w:b/>
                <w:sz w:val="20"/>
                <w:szCs w:val="20"/>
              </w:rPr>
              <w:t>Sensory NCS</w:t>
            </w:r>
          </w:p>
        </w:tc>
        <w:tc>
          <w:tcPr>
            <w:tcW w:w="833" w:type="dxa"/>
          </w:tcPr>
          <w:p w14:paraId="78D0DE33" w14:textId="77777777" w:rsidR="00940546" w:rsidRPr="00C3144A" w:rsidRDefault="00940546" w:rsidP="00C3144A">
            <w:pPr>
              <w:pStyle w:val="TableParagraph"/>
              <w:spacing w:before="15" w:line="360" w:lineRule="auto"/>
              <w:ind w:left="215"/>
              <w:jc w:val="both"/>
              <w:rPr>
                <w:b/>
                <w:sz w:val="20"/>
                <w:szCs w:val="20"/>
              </w:rPr>
            </w:pPr>
            <w:proofErr w:type="spellStart"/>
            <w:r w:rsidRPr="00C3144A">
              <w:rPr>
                <w:b/>
                <w:sz w:val="20"/>
                <w:szCs w:val="20"/>
              </w:rPr>
              <w:t>Dist</w:t>
            </w:r>
            <w:proofErr w:type="spellEnd"/>
          </w:p>
        </w:tc>
        <w:tc>
          <w:tcPr>
            <w:tcW w:w="1433" w:type="dxa"/>
          </w:tcPr>
          <w:p w14:paraId="7FE93BAA" w14:textId="77777777" w:rsidR="00940546" w:rsidRPr="00C3144A" w:rsidRDefault="00940546" w:rsidP="00C3144A">
            <w:pPr>
              <w:pStyle w:val="TableParagraph"/>
              <w:spacing w:before="15" w:line="360" w:lineRule="auto"/>
              <w:ind w:left="323" w:right="300"/>
              <w:jc w:val="both"/>
              <w:rPr>
                <w:b/>
                <w:sz w:val="20"/>
                <w:szCs w:val="20"/>
              </w:rPr>
            </w:pPr>
            <w:r w:rsidRPr="00C3144A">
              <w:rPr>
                <w:b/>
                <w:sz w:val="20"/>
                <w:szCs w:val="20"/>
              </w:rPr>
              <w:t>Lat 1pos</w:t>
            </w:r>
          </w:p>
        </w:tc>
        <w:tc>
          <w:tcPr>
            <w:tcW w:w="1836" w:type="dxa"/>
          </w:tcPr>
          <w:p w14:paraId="31A2F3C0" w14:textId="77777777" w:rsidR="00940546" w:rsidRPr="00C3144A" w:rsidRDefault="00940546" w:rsidP="00C3144A">
            <w:pPr>
              <w:pStyle w:val="TableParagraph"/>
              <w:spacing w:before="15" w:line="360" w:lineRule="auto"/>
              <w:ind w:left="403" w:right="379"/>
              <w:jc w:val="both"/>
              <w:rPr>
                <w:b/>
                <w:sz w:val="20"/>
                <w:szCs w:val="20"/>
              </w:rPr>
            </w:pPr>
            <w:r w:rsidRPr="00C3144A">
              <w:rPr>
                <w:b/>
                <w:sz w:val="20"/>
                <w:szCs w:val="20"/>
              </w:rPr>
              <w:t>Amp pk-pk</w:t>
            </w:r>
          </w:p>
        </w:tc>
        <w:tc>
          <w:tcPr>
            <w:tcW w:w="929" w:type="dxa"/>
          </w:tcPr>
          <w:p w14:paraId="536DE47D" w14:textId="77777777" w:rsidR="00940546" w:rsidRPr="00C3144A" w:rsidRDefault="00940546" w:rsidP="00C3144A">
            <w:pPr>
              <w:pStyle w:val="TableParagraph"/>
              <w:spacing w:before="15" w:line="360" w:lineRule="auto"/>
              <w:ind w:left="215" w:right="243"/>
              <w:jc w:val="both"/>
              <w:rPr>
                <w:b/>
                <w:sz w:val="20"/>
                <w:szCs w:val="20"/>
              </w:rPr>
            </w:pPr>
            <w:proofErr w:type="spellStart"/>
            <w:r w:rsidRPr="00C3144A">
              <w:rPr>
                <w:b/>
                <w:sz w:val="20"/>
                <w:szCs w:val="20"/>
              </w:rPr>
              <w:t>Vcs</w:t>
            </w:r>
            <w:proofErr w:type="spellEnd"/>
          </w:p>
        </w:tc>
        <w:tc>
          <w:tcPr>
            <w:tcW w:w="1505" w:type="dxa"/>
          </w:tcPr>
          <w:p w14:paraId="39E38426" w14:textId="77777777" w:rsidR="00940546" w:rsidRPr="00C3144A" w:rsidRDefault="00940546" w:rsidP="00C3144A">
            <w:pPr>
              <w:pStyle w:val="TableParagraph"/>
              <w:spacing w:before="15" w:line="360" w:lineRule="auto"/>
              <w:ind w:left="342" w:right="320"/>
              <w:jc w:val="both"/>
              <w:rPr>
                <w:b/>
                <w:sz w:val="20"/>
                <w:szCs w:val="20"/>
              </w:rPr>
            </w:pPr>
            <w:r w:rsidRPr="00C3144A">
              <w:rPr>
                <w:b/>
                <w:sz w:val="20"/>
                <w:szCs w:val="20"/>
              </w:rPr>
              <w:t>Amp neg</w:t>
            </w:r>
          </w:p>
        </w:tc>
      </w:tr>
      <w:tr w:rsidR="00940546" w:rsidRPr="00C3144A" w14:paraId="7D065425" w14:textId="77777777" w:rsidTr="00750DB7">
        <w:trPr>
          <w:trHeight w:val="277"/>
        </w:trPr>
        <w:tc>
          <w:tcPr>
            <w:tcW w:w="3437" w:type="dxa"/>
          </w:tcPr>
          <w:p w14:paraId="1994EEE0" w14:textId="77777777" w:rsidR="00940546" w:rsidRPr="00C3144A" w:rsidRDefault="00940546" w:rsidP="00C3144A">
            <w:pPr>
              <w:pStyle w:val="TableParagraph"/>
              <w:spacing w:before="0" w:line="360" w:lineRule="auto"/>
              <w:ind w:left="0"/>
              <w:jc w:val="both"/>
              <w:rPr>
                <w:sz w:val="20"/>
                <w:szCs w:val="20"/>
              </w:rPr>
            </w:pPr>
          </w:p>
        </w:tc>
        <w:tc>
          <w:tcPr>
            <w:tcW w:w="833" w:type="dxa"/>
          </w:tcPr>
          <w:p w14:paraId="019CC2A6" w14:textId="77777777" w:rsidR="00940546" w:rsidRPr="00C3144A" w:rsidRDefault="00940546" w:rsidP="00C3144A">
            <w:pPr>
              <w:pStyle w:val="TableParagraph"/>
              <w:spacing w:before="18" w:line="360" w:lineRule="auto"/>
              <w:ind w:left="258"/>
              <w:jc w:val="both"/>
              <w:rPr>
                <w:sz w:val="20"/>
                <w:szCs w:val="20"/>
              </w:rPr>
            </w:pPr>
            <w:r w:rsidRPr="00C3144A">
              <w:rPr>
                <w:sz w:val="20"/>
                <w:szCs w:val="20"/>
              </w:rPr>
              <w:t>mm</w:t>
            </w:r>
          </w:p>
        </w:tc>
        <w:tc>
          <w:tcPr>
            <w:tcW w:w="1433" w:type="dxa"/>
          </w:tcPr>
          <w:p w14:paraId="75E4016A" w14:textId="77777777" w:rsidR="00940546" w:rsidRPr="00C3144A" w:rsidRDefault="00940546" w:rsidP="00C3144A">
            <w:pPr>
              <w:pStyle w:val="TableParagraph"/>
              <w:spacing w:before="18" w:line="360" w:lineRule="auto"/>
              <w:ind w:left="323" w:right="300"/>
              <w:jc w:val="both"/>
              <w:rPr>
                <w:sz w:val="20"/>
                <w:szCs w:val="20"/>
              </w:rPr>
            </w:pPr>
            <w:proofErr w:type="spellStart"/>
            <w:r w:rsidRPr="00C3144A">
              <w:rPr>
                <w:sz w:val="20"/>
                <w:szCs w:val="20"/>
              </w:rPr>
              <w:t>ms</w:t>
            </w:r>
            <w:proofErr w:type="spellEnd"/>
          </w:p>
        </w:tc>
        <w:tc>
          <w:tcPr>
            <w:tcW w:w="1836" w:type="dxa"/>
          </w:tcPr>
          <w:p w14:paraId="471738AB" w14:textId="77777777" w:rsidR="00940546" w:rsidRPr="00C3144A" w:rsidRDefault="00940546" w:rsidP="00C3144A">
            <w:pPr>
              <w:pStyle w:val="TableParagraph"/>
              <w:spacing w:before="18" w:line="360" w:lineRule="auto"/>
              <w:ind w:left="401" w:right="379"/>
              <w:jc w:val="both"/>
              <w:rPr>
                <w:sz w:val="20"/>
                <w:szCs w:val="20"/>
              </w:rPr>
            </w:pPr>
            <w:proofErr w:type="spellStart"/>
            <w:r w:rsidRPr="00C3144A">
              <w:rPr>
                <w:sz w:val="20"/>
                <w:szCs w:val="20"/>
              </w:rPr>
              <w:t>μV</w:t>
            </w:r>
            <w:proofErr w:type="spellEnd"/>
          </w:p>
        </w:tc>
        <w:tc>
          <w:tcPr>
            <w:tcW w:w="929" w:type="dxa"/>
          </w:tcPr>
          <w:p w14:paraId="60E5D28F" w14:textId="77777777" w:rsidR="00940546" w:rsidRPr="00C3144A" w:rsidRDefault="00940546" w:rsidP="00C3144A">
            <w:pPr>
              <w:pStyle w:val="TableParagraph"/>
              <w:spacing w:before="18" w:line="360" w:lineRule="auto"/>
              <w:ind w:left="259" w:right="239"/>
              <w:jc w:val="both"/>
              <w:rPr>
                <w:sz w:val="20"/>
                <w:szCs w:val="20"/>
              </w:rPr>
            </w:pPr>
            <w:r w:rsidRPr="00C3144A">
              <w:rPr>
                <w:sz w:val="20"/>
                <w:szCs w:val="20"/>
              </w:rPr>
              <w:t>m/s</w:t>
            </w:r>
          </w:p>
        </w:tc>
        <w:tc>
          <w:tcPr>
            <w:tcW w:w="1505" w:type="dxa"/>
          </w:tcPr>
          <w:p w14:paraId="6BCB9B01" w14:textId="77777777" w:rsidR="00940546" w:rsidRPr="00C3144A" w:rsidRDefault="00940546" w:rsidP="00C3144A">
            <w:pPr>
              <w:pStyle w:val="TableParagraph"/>
              <w:spacing w:before="18" w:line="360" w:lineRule="auto"/>
              <w:ind w:left="341" w:right="320"/>
              <w:jc w:val="both"/>
              <w:rPr>
                <w:sz w:val="20"/>
                <w:szCs w:val="20"/>
              </w:rPr>
            </w:pPr>
            <w:proofErr w:type="spellStart"/>
            <w:r w:rsidRPr="00C3144A">
              <w:rPr>
                <w:sz w:val="20"/>
                <w:szCs w:val="20"/>
              </w:rPr>
              <w:t>μV</w:t>
            </w:r>
            <w:proofErr w:type="spellEnd"/>
          </w:p>
        </w:tc>
      </w:tr>
      <w:tr w:rsidR="00940546" w:rsidRPr="00C3144A" w14:paraId="32384D6F" w14:textId="77777777" w:rsidTr="00750DB7">
        <w:trPr>
          <w:trHeight w:val="277"/>
        </w:trPr>
        <w:tc>
          <w:tcPr>
            <w:tcW w:w="9973" w:type="dxa"/>
            <w:gridSpan w:val="6"/>
          </w:tcPr>
          <w:p w14:paraId="76D70719" w14:textId="77777777" w:rsidR="00940546" w:rsidRPr="00C3144A" w:rsidRDefault="00940546" w:rsidP="00C3144A">
            <w:pPr>
              <w:pStyle w:val="TableParagraph"/>
              <w:spacing w:before="18" w:line="360" w:lineRule="auto"/>
              <w:jc w:val="both"/>
              <w:rPr>
                <w:b/>
                <w:sz w:val="20"/>
                <w:szCs w:val="20"/>
              </w:rPr>
            </w:pPr>
            <w:r w:rsidRPr="00C3144A">
              <w:rPr>
                <w:b/>
                <w:sz w:val="20"/>
                <w:szCs w:val="20"/>
              </w:rPr>
              <w:t>Ulnaris Anti (Left)</w:t>
            </w:r>
          </w:p>
        </w:tc>
      </w:tr>
      <w:tr w:rsidR="00940546" w:rsidRPr="00C3144A" w14:paraId="78A1EB51" w14:textId="77777777" w:rsidTr="00750DB7">
        <w:trPr>
          <w:trHeight w:val="322"/>
        </w:trPr>
        <w:tc>
          <w:tcPr>
            <w:tcW w:w="3437" w:type="dxa"/>
          </w:tcPr>
          <w:p w14:paraId="34FF5ED6" w14:textId="77777777" w:rsidR="00940546" w:rsidRPr="00C3144A" w:rsidRDefault="00940546" w:rsidP="00C3144A">
            <w:pPr>
              <w:pStyle w:val="TableParagraph"/>
              <w:spacing w:before="19" w:line="360" w:lineRule="auto"/>
              <w:jc w:val="both"/>
              <w:rPr>
                <w:sz w:val="20"/>
                <w:szCs w:val="20"/>
              </w:rPr>
            </w:pPr>
            <w:r w:rsidRPr="00C3144A">
              <w:rPr>
                <w:sz w:val="20"/>
                <w:szCs w:val="20"/>
              </w:rPr>
              <w:t>Wrist – Digit V</w:t>
            </w:r>
          </w:p>
        </w:tc>
        <w:tc>
          <w:tcPr>
            <w:tcW w:w="833" w:type="dxa"/>
          </w:tcPr>
          <w:p w14:paraId="43E60478" w14:textId="77777777" w:rsidR="00940546" w:rsidRPr="00C3144A" w:rsidRDefault="00940546" w:rsidP="00C3144A">
            <w:pPr>
              <w:pStyle w:val="TableParagraph"/>
              <w:spacing w:line="360" w:lineRule="auto"/>
              <w:ind w:left="263"/>
              <w:jc w:val="both"/>
              <w:rPr>
                <w:sz w:val="20"/>
                <w:szCs w:val="20"/>
              </w:rPr>
            </w:pPr>
            <w:r w:rsidRPr="00C3144A">
              <w:rPr>
                <w:sz w:val="20"/>
                <w:szCs w:val="20"/>
              </w:rPr>
              <w:t>150</w:t>
            </w:r>
          </w:p>
        </w:tc>
        <w:tc>
          <w:tcPr>
            <w:tcW w:w="1433" w:type="dxa"/>
          </w:tcPr>
          <w:p w14:paraId="6A46496E" w14:textId="77777777" w:rsidR="00940546" w:rsidRPr="00C3144A" w:rsidRDefault="00940546" w:rsidP="00C3144A">
            <w:pPr>
              <w:pStyle w:val="TableParagraph"/>
              <w:spacing w:line="360" w:lineRule="auto"/>
              <w:ind w:left="319" w:right="300"/>
              <w:jc w:val="both"/>
              <w:rPr>
                <w:sz w:val="20"/>
                <w:szCs w:val="20"/>
              </w:rPr>
            </w:pPr>
            <w:r w:rsidRPr="00C3144A">
              <w:rPr>
                <w:sz w:val="20"/>
                <w:szCs w:val="20"/>
              </w:rPr>
              <w:t>2,6</w:t>
            </w:r>
          </w:p>
        </w:tc>
        <w:tc>
          <w:tcPr>
            <w:tcW w:w="1836" w:type="dxa"/>
          </w:tcPr>
          <w:p w14:paraId="257BF8FF" w14:textId="77777777" w:rsidR="00940546" w:rsidRPr="00C3144A" w:rsidRDefault="00940546" w:rsidP="00C3144A">
            <w:pPr>
              <w:pStyle w:val="TableParagraph"/>
              <w:spacing w:line="360" w:lineRule="auto"/>
              <w:ind w:left="398" w:right="379"/>
              <w:jc w:val="both"/>
              <w:rPr>
                <w:b/>
                <w:sz w:val="20"/>
                <w:szCs w:val="20"/>
              </w:rPr>
            </w:pPr>
            <w:r w:rsidRPr="00C3144A">
              <w:rPr>
                <w:b/>
                <w:sz w:val="20"/>
                <w:szCs w:val="20"/>
              </w:rPr>
              <w:t>1,2</w:t>
            </w:r>
          </w:p>
        </w:tc>
        <w:tc>
          <w:tcPr>
            <w:tcW w:w="929" w:type="dxa"/>
          </w:tcPr>
          <w:p w14:paraId="200C2807" w14:textId="77777777" w:rsidR="00940546" w:rsidRPr="00C3144A" w:rsidRDefault="00940546" w:rsidP="00C3144A">
            <w:pPr>
              <w:pStyle w:val="TableParagraph"/>
              <w:spacing w:line="360" w:lineRule="auto"/>
              <w:ind w:left="259" w:right="236"/>
              <w:jc w:val="both"/>
              <w:rPr>
                <w:sz w:val="20"/>
                <w:szCs w:val="20"/>
              </w:rPr>
            </w:pPr>
            <w:r w:rsidRPr="00C3144A">
              <w:rPr>
                <w:sz w:val="20"/>
                <w:szCs w:val="20"/>
              </w:rPr>
              <w:t>58,6</w:t>
            </w:r>
          </w:p>
        </w:tc>
        <w:tc>
          <w:tcPr>
            <w:tcW w:w="1505" w:type="dxa"/>
          </w:tcPr>
          <w:p w14:paraId="0D6862C6" w14:textId="77777777" w:rsidR="00940546" w:rsidRPr="00C3144A" w:rsidRDefault="00940546" w:rsidP="00C3144A">
            <w:pPr>
              <w:pStyle w:val="TableParagraph"/>
              <w:spacing w:before="0" w:line="360" w:lineRule="auto"/>
              <w:ind w:left="0"/>
              <w:jc w:val="both"/>
              <w:rPr>
                <w:sz w:val="20"/>
                <w:szCs w:val="20"/>
              </w:rPr>
            </w:pPr>
          </w:p>
        </w:tc>
      </w:tr>
      <w:tr w:rsidR="00940546" w:rsidRPr="00C3144A" w14:paraId="4305643C" w14:textId="77777777" w:rsidTr="00750DB7">
        <w:trPr>
          <w:trHeight w:val="277"/>
        </w:trPr>
        <w:tc>
          <w:tcPr>
            <w:tcW w:w="9973" w:type="dxa"/>
            <w:gridSpan w:val="6"/>
          </w:tcPr>
          <w:p w14:paraId="76CD74C3" w14:textId="77777777" w:rsidR="00940546" w:rsidRPr="00C3144A" w:rsidRDefault="00940546" w:rsidP="00C3144A">
            <w:pPr>
              <w:pStyle w:val="TableParagraph"/>
              <w:spacing w:before="18" w:line="360" w:lineRule="auto"/>
              <w:jc w:val="both"/>
              <w:rPr>
                <w:b/>
                <w:sz w:val="20"/>
                <w:szCs w:val="20"/>
              </w:rPr>
            </w:pPr>
            <w:proofErr w:type="spellStart"/>
            <w:r w:rsidRPr="00C3144A">
              <w:rPr>
                <w:b/>
                <w:sz w:val="20"/>
                <w:szCs w:val="20"/>
              </w:rPr>
              <w:t>Medianus</w:t>
            </w:r>
            <w:proofErr w:type="spellEnd"/>
            <w:r w:rsidRPr="00C3144A">
              <w:rPr>
                <w:b/>
                <w:sz w:val="20"/>
                <w:szCs w:val="20"/>
              </w:rPr>
              <w:t xml:space="preserve"> Anti (Left)</w:t>
            </w:r>
          </w:p>
        </w:tc>
      </w:tr>
      <w:tr w:rsidR="00940546" w:rsidRPr="00C3144A" w14:paraId="6A8CCD14" w14:textId="77777777" w:rsidTr="00750DB7">
        <w:trPr>
          <w:trHeight w:val="322"/>
        </w:trPr>
        <w:tc>
          <w:tcPr>
            <w:tcW w:w="3437" w:type="dxa"/>
          </w:tcPr>
          <w:p w14:paraId="40E33454" w14:textId="77777777" w:rsidR="00940546" w:rsidRPr="00C3144A" w:rsidRDefault="00940546" w:rsidP="00C3144A">
            <w:pPr>
              <w:pStyle w:val="TableParagraph"/>
              <w:spacing w:before="16" w:line="360" w:lineRule="auto"/>
              <w:jc w:val="both"/>
              <w:rPr>
                <w:sz w:val="20"/>
                <w:szCs w:val="20"/>
              </w:rPr>
            </w:pPr>
            <w:r w:rsidRPr="00C3144A">
              <w:rPr>
                <w:sz w:val="20"/>
                <w:szCs w:val="20"/>
              </w:rPr>
              <w:t>Wrist – Digit II</w:t>
            </w:r>
          </w:p>
        </w:tc>
        <w:tc>
          <w:tcPr>
            <w:tcW w:w="833" w:type="dxa"/>
          </w:tcPr>
          <w:p w14:paraId="675B4EE2" w14:textId="77777777" w:rsidR="00940546" w:rsidRPr="00C3144A" w:rsidRDefault="00940546" w:rsidP="00C3144A">
            <w:pPr>
              <w:pStyle w:val="TableParagraph"/>
              <w:spacing w:line="360" w:lineRule="auto"/>
              <w:ind w:left="263"/>
              <w:jc w:val="both"/>
              <w:rPr>
                <w:sz w:val="20"/>
                <w:szCs w:val="20"/>
              </w:rPr>
            </w:pPr>
            <w:r w:rsidRPr="00C3144A">
              <w:rPr>
                <w:sz w:val="20"/>
                <w:szCs w:val="20"/>
              </w:rPr>
              <w:t>150</w:t>
            </w:r>
          </w:p>
        </w:tc>
        <w:tc>
          <w:tcPr>
            <w:tcW w:w="1433" w:type="dxa"/>
          </w:tcPr>
          <w:p w14:paraId="34EE222C" w14:textId="77777777" w:rsidR="00940546" w:rsidRPr="00C3144A" w:rsidRDefault="00940546" w:rsidP="00C3144A">
            <w:pPr>
              <w:pStyle w:val="TableParagraph"/>
              <w:spacing w:line="360" w:lineRule="auto"/>
              <w:ind w:left="319" w:right="300"/>
              <w:jc w:val="both"/>
              <w:rPr>
                <w:sz w:val="20"/>
                <w:szCs w:val="20"/>
              </w:rPr>
            </w:pPr>
            <w:r w:rsidRPr="00C3144A">
              <w:rPr>
                <w:sz w:val="20"/>
                <w:szCs w:val="20"/>
              </w:rPr>
              <w:t>5,8</w:t>
            </w:r>
          </w:p>
        </w:tc>
        <w:tc>
          <w:tcPr>
            <w:tcW w:w="1836" w:type="dxa"/>
          </w:tcPr>
          <w:p w14:paraId="2EA1C54E" w14:textId="77777777" w:rsidR="00940546" w:rsidRPr="00C3144A" w:rsidRDefault="00940546" w:rsidP="00C3144A">
            <w:pPr>
              <w:pStyle w:val="TableParagraph"/>
              <w:spacing w:line="360" w:lineRule="auto"/>
              <w:ind w:left="398" w:right="379"/>
              <w:jc w:val="both"/>
              <w:rPr>
                <w:b/>
                <w:sz w:val="20"/>
                <w:szCs w:val="20"/>
              </w:rPr>
            </w:pPr>
            <w:r w:rsidRPr="00C3144A">
              <w:rPr>
                <w:b/>
                <w:sz w:val="20"/>
                <w:szCs w:val="20"/>
              </w:rPr>
              <w:t>2,9</w:t>
            </w:r>
          </w:p>
        </w:tc>
        <w:tc>
          <w:tcPr>
            <w:tcW w:w="929" w:type="dxa"/>
          </w:tcPr>
          <w:p w14:paraId="0F1B1A94" w14:textId="77777777" w:rsidR="00940546" w:rsidRPr="00C3144A" w:rsidRDefault="00940546" w:rsidP="00C3144A">
            <w:pPr>
              <w:pStyle w:val="TableParagraph"/>
              <w:spacing w:line="360" w:lineRule="auto"/>
              <w:ind w:left="259" w:right="236"/>
              <w:jc w:val="both"/>
              <w:rPr>
                <w:b/>
                <w:sz w:val="20"/>
                <w:szCs w:val="20"/>
              </w:rPr>
            </w:pPr>
            <w:r w:rsidRPr="00C3144A">
              <w:rPr>
                <w:b/>
                <w:sz w:val="20"/>
                <w:szCs w:val="20"/>
              </w:rPr>
              <w:t>25,9</w:t>
            </w:r>
          </w:p>
        </w:tc>
        <w:tc>
          <w:tcPr>
            <w:tcW w:w="1505" w:type="dxa"/>
          </w:tcPr>
          <w:p w14:paraId="1DD7600E" w14:textId="77777777" w:rsidR="00940546" w:rsidRPr="00C3144A" w:rsidRDefault="00940546" w:rsidP="00C3144A">
            <w:pPr>
              <w:pStyle w:val="TableParagraph"/>
              <w:spacing w:line="360" w:lineRule="auto"/>
              <w:ind w:left="338" w:right="320"/>
              <w:jc w:val="both"/>
              <w:rPr>
                <w:b/>
                <w:sz w:val="20"/>
                <w:szCs w:val="20"/>
              </w:rPr>
            </w:pPr>
            <w:r w:rsidRPr="00C3144A">
              <w:rPr>
                <w:b/>
                <w:sz w:val="20"/>
                <w:szCs w:val="20"/>
              </w:rPr>
              <w:t>4,1</w:t>
            </w:r>
          </w:p>
        </w:tc>
      </w:tr>
      <w:tr w:rsidR="00940546" w:rsidRPr="00C3144A" w14:paraId="5C7DDE7C" w14:textId="77777777" w:rsidTr="00750DB7">
        <w:trPr>
          <w:trHeight w:val="274"/>
        </w:trPr>
        <w:tc>
          <w:tcPr>
            <w:tcW w:w="9973" w:type="dxa"/>
            <w:gridSpan w:val="6"/>
          </w:tcPr>
          <w:p w14:paraId="36A469DC" w14:textId="77777777" w:rsidR="00940546" w:rsidRPr="00C3144A" w:rsidRDefault="00940546" w:rsidP="00C3144A">
            <w:pPr>
              <w:pStyle w:val="TableParagraph"/>
              <w:spacing w:before="15" w:line="360" w:lineRule="auto"/>
              <w:jc w:val="both"/>
              <w:rPr>
                <w:b/>
                <w:sz w:val="20"/>
                <w:szCs w:val="20"/>
              </w:rPr>
            </w:pPr>
            <w:proofErr w:type="spellStart"/>
            <w:r w:rsidRPr="00C3144A">
              <w:rPr>
                <w:b/>
                <w:sz w:val="20"/>
                <w:szCs w:val="20"/>
              </w:rPr>
              <w:t>Suralis</w:t>
            </w:r>
            <w:proofErr w:type="spellEnd"/>
            <w:r w:rsidRPr="00C3144A">
              <w:rPr>
                <w:b/>
                <w:sz w:val="20"/>
                <w:szCs w:val="20"/>
              </w:rPr>
              <w:t xml:space="preserve"> Anti (Left)</w:t>
            </w:r>
          </w:p>
        </w:tc>
      </w:tr>
      <w:tr w:rsidR="00940546" w:rsidRPr="00C3144A" w14:paraId="6C1A7D0E" w14:textId="77777777" w:rsidTr="00750DB7">
        <w:trPr>
          <w:trHeight w:val="322"/>
        </w:trPr>
        <w:tc>
          <w:tcPr>
            <w:tcW w:w="3437" w:type="dxa"/>
          </w:tcPr>
          <w:p w14:paraId="63CD1269" w14:textId="77777777" w:rsidR="00940546" w:rsidRPr="00C3144A" w:rsidRDefault="00940546" w:rsidP="00C3144A">
            <w:pPr>
              <w:pStyle w:val="TableParagraph"/>
              <w:spacing w:before="19" w:line="360" w:lineRule="auto"/>
              <w:jc w:val="both"/>
              <w:rPr>
                <w:sz w:val="20"/>
                <w:szCs w:val="20"/>
              </w:rPr>
            </w:pPr>
            <w:r w:rsidRPr="00C3144A">
              <w:rPr>
                <w:sz w:val="20"/>
                <w:szCs w:val="20"/>
              </w:rPr>
              <w:t xml:space="preserve">Calf - </w:t>
            </w:r>
            <w:proofErr w:type="spellStart"/>
            <w:r w:rsidRPr="00C3144A">
              <w:rPr>
                <w:sz w:val="20"/>
                <w:szCs w:val="20"/>
              </w:rPr>
              <w:t>Malleolo</w:t>
            </w:r>
            <w:proofErr w:type="spellEnd"/>
            <w:r w:rsidRPr="00C3144A">
              <w:rPr>
                <w:sz w:val="20"/>
                <w:szCs w:val="20"/>
              </w:rPr>
              <w:t xml:space="preserve"> </w:t>
            </w:r>
            <w:proofErr w:type="spellStart"/>
            <w:r w:rsidRPr="00C3144A">
              <w:rPr>
                <w:sz w:val="20"/>
                <w:szCs w:val="20"/>
              </w:rPr>
              <w:t>Lat</w:t>
            </w:r>
            <w:proofErr w:type="spellEnd"/>
          </w:p>
        </w:tc>
        <w:tc>
          <w:tcPr>
            <w:tcW w:w="833" w:type="dxa"/>
          </w:tcPr>
          <w:p w14:paraId="4D483E67" w14:textId="77777777" w:rsidR="00940546" w:rsidRPr="00C3144A" w:rsidRDefault="00940546" w:rsidP="00C3144A">
            <w:pPr>
              <w:pStyle w:val="TableParagraph"/>
              <w:spacing w:before="42" w:line="360" w:lineRule="auto"/>
              <w:ind w:left="263"/>
              <w:jc w:val="both"/>
              <w:rPr>
                <w:sz w:val="20"/>
                <w:szCs w:val="20"/>
              </w:rPr>
            </w:pPr>
            <w:r w:rsidRPr="00C3144A">
              <w:rPr>
                <w:sz w:val="20"/>
                <w:szCs w:val="20"/>
              </w:rPr>
              <w:t>140</w:t>
            </w:r>
          </w:p>
        </w:tc>
        <w:tc>
          <w:tcPr>
            <w:tcW w:w="1433" w:type="dxa"/>
          </w:tcPr>
          <w:p w14:paraId="678EE3B6" w14:textId="77777777" w:rsidR="00940546" w:rsidRPr="00C3144A" w:rsidRDefault="00940546" w:rsidP="00C3144A">
            <w:pPr>
              <w:pStyle w:val="TableParagraph"/>
              <w:spacing w:before="42" w:line="360" w:lineRule="auto"/>
              <w:ind w:left="319" w:right="300"/>
              <w:jc w:val="both"/>
              <w:rPr>
                <w:sz w:val="20"/>
                <w:szCs w:val="20"/>
              </w:rPr>
            </w:pPr>
            <w:r w:rsidRPr="00C3144A">
              <w:rPr>
                <w:sz w:val="20"/>
                <w:szCs w:val="20"/>
              </w:rPr>
              <w:t>3,0</w:t>
            </w:r>
          </w:p>
        </w:tc>
        <w:tc>
          <w:tcPr>
            <w:tcW w:w="1836" w:type="dxa"/>
          </w:tcPr>
          <w:p w14:paraId="6FC2A557" w14:textId="77777777" w:rsidR="00940546" w:rsidRPr="00C3144A" w:rsidRDefault="00940546" w:rsidP="00C3144A">
            <w:pPr>
              <w:pStyle w:val="TableParagraph"/>
              <w:spacing w:before="42" w:line="360" w:lineRule="auto"/>
              <w:ind w:left="402" w:right="379"/>
              <w:jc w:val="both"/>
              <w:rPr>
                <w:sz w:val="20"/>
                <w:szCs w:val="20"/>
              </w:rPr>
            </w:pPr>
            <w:r w:rsidRPr="00C3144A">
              <w:rPr>
                <w:sz w:val="20"/>
                <w:szCs w:val="20"/>
              </w:rPr>
              <w:t>21,3</w:t>
            </w:r>
          </w:p>
        </w:tc>
        <w:tc>
          <w:tcPr>
            <w:tcW w:w="929" w:type="dxa"/>
          </w:tcPr>
          <w:p w14:paraId="194DEDD9" w14:textId="77777777" w:rsidR="00940546" w:rsidRPr="00C3144A" w:rsidRDefault="00940546" w:rsidP="00C3144A">
            <w:pPr>
              <w:pStyle w:val="TableParagraph"/>
              <w:spacing w:before="42" w:line="360" w:lineRule="auto"/>
              <w:ind w:left="259" w:right="236"/>
              <w:jc w:val="both"/>
              <w:rPr>
                <w:sz w:val="20"/>
                <w:szCs w:val="20"/>
              </w:rPr>
            </w:pPr>
            <w:r w:rsidRPr="00C3144A">
              <w:rPr>
                <w:sz w:val="20"/>
                <w:szCs w:val="20"/>
              </w:rPr>
              <w:t>47,3</w:t>
            </w:r>
          </w:p>
        </w:tc>
        <w:tc>
          <w:tcPr>
            <w:tcW w:w="1505" w:type="dxa"/>
          </w:tcPr>
          <w:p w14:paraId="5DAA5F65" w14:textId="77777777" w:rsidR="00940546" w:rsidRPr="00C3144A" w:rsidRDefault="00940546" w:rsidP="00C3144A">
            <w:pPr>
              <w:pStyle w:val="TableParagraph"/>
              <w:spacing w:before="42" w:line="360" w:lineRule="auto"/>
              <w:ind w:left="342" w:right="319"/>
              <w:jc w:val="both"/>
              <w:rPr>
                <w:sz w:val="20"/>
                <w:szCs w:val="20"/>
              </w:rPr>
            </w:pPr>
            <w:r w:rsidRPr="00C3144A">
              <w:rPr>
                <w:sz w:val="20"/>
                <w:szCs w:val="20"/>
              </w:rPr>
              <w:t>20,9</w:t>
            </w:r>
          </w:p>
        </w:tc>
      </w:tr>
    </w:tbl>
    <w:p w14:paraId="4F3C7A58" w14:textId="77777777" w:rsidR="00940546" w:rsidRPr="00C3144A" w:rsidRDefault="00940546" w:rsidP="00C3144A">
      <w:pPr>
        <w:pStyle w:val="BodyText"/>
        <w:spacing w:before="7" w:line="360" w:lineRule="auto"/>
        <w:jc w:val="both"/>
        <w:rPr>
          <w:b/>
          <w:sz w:val="20"/>
          <w:szCs w:val="20"/>
        </w:rPr>
      </w:pPr>
    </w:p>
    <w:p w14:paraId="7EA75D2C" w14:textId="3FA4ECFE" w:rsidR="00515173" w:rsidRDefault="00515173" w:rsidP="00515173">
      <w:pPr>
        <w:spacing w:line="360" w:lineRule="auto"/>
        <w:ind w:left="115"/>
        <w:jc w:val="both"/>
        <w:rPr>
          <w:b/>
          <w:sz w:val="20"/>
          <w:szCs w:val="20"/>
        </w:rPr>
      </w:pPr>
      <w:r w:rsidRPr="007178EF">
        <w:rPr>
          <w:b/>
          <w:sz w:val="20"/>
          <w:szCs w:val="20"/>
          <w:highlight w:val="yellow"/>
        </w:rPr>
        <w:t xml:space="preserve">Figures </w:t>
      </w:r>
      <w:r>
        <w:rPr>
          <w:b/>
          <w:sz w:val="20"/>
          <w:szCs w:val="20"/>
          <w:highlight w:val="yellow"/>
        </w:rPr>
        <w:t>4</w:t>
      </w:r>
      <w:r w:rsidRPr="007178EF">
        <w:rPr>
          <w:b/>
          <w:sz w:val="20"/>
          <w:szCs w:val="20"/>
          <w:highlight w:val="yellow"/>
        </w:rPr>
        <w:t xml:space="preserve">, </w:t>
      </w:r>
      <w:r>
        <w:rPr>
          <w:b/>
          <w:sz w:val="20"/>
          <w:szCs w:val="20"/>
          <w:highlight w:val="yellow"/>
        </w:rPr>
        <w:t>5</w:t>
      </w:r>
      <w:r w:rsidRPr="007178EF">
        <w:rPr>
          <w:b/>
          <w:sz w:val="20"/>
          <w:szCs w:val="20"/>
          <w:highlight w:val="yellow"/>
        </w:rPr>
        <w:t xml:space="preserve"> and </w:t>
      </w:r>
      <w:r>
        <w:rPr>
          <w:b/>
          <w:sz w:val="20"/>
          <w:szCs w:val="20"/>
          <w:highlight w:val="yellow"/>
        </w:rPr>
        <w:t>6</w:t>
      </w:r>
      <w:r w:rsidRPr="007178EF">
        <w:rPr>
          <w:b/>
          <w:sz w:val="20"/>
          <w:szCs w:val="20"/>
          <w:highlight w:val="yellow"/>
        </w:rPr>
        <w:t xml:space="preserve"> Insert Here</w:t>
      </w:r>
    </w:p>
    <w:p w14:paraId="0CA40ECD" w14:textId="48A4CC97" w:rsidR="00940546" w:rsidRDefault="00940546" w:rsidP="00C3144A">
      <w:pPr>
        <w:pStyle w:val="BodyText"/>
        <w:spacing w:before="5" w:line="360" w:lineRule="auto"/>
        <w:jc w:val="both"/>
        <w:rPr>
          <w:b/>
          <w:sz w:val="20"/>
          <w:szCs w:val="20"/>
        </w:rPr>
      </w:pPr>
    </w:p>
    <w:p w14:paraId="754985C2" w14:textId="209D5991" w:rsidR="00515173" w:rsidRDefault="00515173" w:rsidP="00C3144A">
      <w:pPr>
        <w:pStyle w:val="BodyText"/>
        <w:spacing w:before="5" w:line="360" w:lineRule="auto"/>
        <w:jc w:val="both"/>
        <w:rPr>
          <w:b/>
          <w:sz w:val="20"/>
          <w:szCs w:val="20"/>
        </w:rPr>
      </w:pPr>
    </w:p>
    <w:p w14:paraId="064ED7E7" w14:textId="77777777" w:rsidR="00940546" w:rsidRPr="00C3144A" w:rsidRDefault="00940546" w:rsidP="00C3144A">
      <w:pPr>
        <w:pStyle w:val="ListParagraph"/>
        <w:numPr>
          <w:ilvl w:val="1"/>
          <w:numId w:val="3"/>
        </w:numPr>
        <w:tabs>
          <w:tab w:val="left" w:pos="895"/>
          <w:tab w:val="left" w:pos="896"/>
        </w:tabs>
        <w:spacing w:before="91" w:line="360" w:lineRule="auto"/>
        <w:ind w:left="895" w:hanging="361"/>
        <w:jc w:val="both"/>
        <w:rPr>
          <w:sz w:val="20"/>
          <w:szCs w:val="20"/>
        </w:rPr>
      </w:pPr>
      <w:r w:rsidRPr="00C3144A">
        <w:rPr>
          <w:color w:val="1F2023"/>
          <w:sz w:val="20"/>
          <w:szCs w:val="20"/>
        </w:rPr>
        <w:t>a prolonged F-wave in the left ulnar nerve and a prolonged distal latency of the right tibial</w:t>
      </w:r>
      <w:r w:rsidRPr="00C3144A">
        <w:rPr>
          <w:color w:val="1F2023"/>
          <w:spacing w:val="-21"/>
          <w:sz w:val="20"/>
          <w:szCs w:val="20"/>
        </w:rPr>
        <w:t xml:space="preserve"> </w:t>
      </w:r>
      <w:r w:rsidRPr="00C3144A">
        <w:rPr>
          <w:color w:val="1F2023"/>
          <w:sz w:val="20"/>
          <w:szCs w:val="20"/>
        </w:rPr>
        <w:t>nerve.</w:t>
      </w:r>
    </w:p>
    <w:p w14:paraId="19BD5FBC" w14:textId="77777777" w:rsidR="00940546" w:rsidRPr="00C3144A" w:rsidRDefault="00940546" w:rsidP="00C3144A">
      <w:pPr>
        <w:pStyle w:val="BodyText"/>
        <w:spacing w:line="360" w:lineRule="auto"/>
        <w:jc w:val="both"/>
        <w:rPr>
          <w:sz w:val="20"/>
          <w:szCs w:val="20"/>
        </w:rPr>
      </w:pPr>
    </w:p>
    <w:p w14:paraId="110E6639" w14:textId="77777777" w:rsidR="00940546" w:rsidRPr="00C3144A" w:rsidRDefault="00940546" w:rsidP="00C3144A">
      <w:pPr>
        <w:pStyle w:val="BodyText"/>
        <w:spacing w:line="360" w:lineRule="auto"/>
        <w:jc w:val="both"/>
        <w:rPr>
          <w:sz w:val="20"/>
          <w:szCs w:val="20"/>
        </w:rPr>
      </w:pPr>
    </w:p>
    <w:p w14:paraId="707451A6" w14:textId="77777777" w:rsidR="00940546" w:rsidRPr="00C3144A" w:rsidRDefault="00940546" w:rsidP="00C3144A">
      <w:pPr>
        <w:pStyle w:val="BodyText"/>
        <w:spacing w:line="360" w:lineRule="auto"/>
        <w:jc w:val="both"/>
        <w:rPr>
          <w:sz w:val="20"/>
          <w:szCs w:val="20"/>
        </w:rPr>
      </w:pPr>
    </w:p>
    <w:p w14:paraId="396D4F4E" w14:textId="7A27796B" w:rsidR="00940546" w:rsidRPr="00C3144A" w:rsidRDefault="00940546" w:rsidP="00C3144A">
      <w:pPr>
        <w:pStyle w:val="BodyText"/>
        <w:spacing w:before="184" w:line="360" w:lineRule="auto"/>
        <w:ind w:left="115" w:right="137"/>
        <w:jc w:val="both"/>
        <w:rPr>
          <w:sz w:val="20"/>
          <w:szCs w:val="20"/>
        </w:rPr>
      </w:pPr>
      <w:r w:rsidRPr="00C3144A">
        <w:rPr>
          <w:sz w:val="20"/>
          <w:szCs w:val="20"/>
        </w:rPr>
        <w:t xml:space="preserve">The neurophysiological findings were compatible with acute demyelinating sensory-motor polyneuropathy (AIDP) (Hadden criteria et al 1998) </w:t>
      </w:r>
      <w:r w:rsidR="00A920EF">
        <w:rPr>
          <w:sz w:val="20"/>
          <w:szCs w:val="20"/>
        </w:rPr>
        <w:t>[</w:t>
      </w:r>
      <w:r w:rsidRPr="00C3144A">
        <w:rPr>
          <w:sz w:val="20"/>
          <w:szCs w:val="20"/>
        </w:rPr>
        <w:t>38</w:t>
      </w:r>
      <w:r w:rsidR="00A920EF">
        <w:rPr>
          <w:sz w:val="20"/>
          <w:szCs w:val="20"/>
        </w:rPr>
        <w:t>]</w:t>
      </w:r>
      <w:r w:rsidRPr="00C3144A">
        <w:rPr>
          <w:sz w:val="20"/>
          <w:szCs w:val="20"/>
        </w:rPr>
        <w:t>.</w:t>
      </w:r>
    </w:p>
    <w:p w14:paraId="318842DF" w14:textId="77777777" w:rsidR="00940546" w:rsidRPr="00C3144A" w:rsidRDefault="00940546" w:rsidP="00C3144A">
      <w:pPr>
        <w:pStyle w:val="BodyText"/>
        <w:spacing w:line="360" w:lineRule="auto"/>
        <w:jc w:val="both"/>
        <w:rPr>
          <w:sz w:val="20"/>
          <w:szCs w:val="20"/>
        </w:rPr>
      </w:pPr>
    </w:p>
    <w:p w14:paraId="537A2F31" w14:textId="77777777" w:rsidR="00940546" w:rsidRPr="00C3144A" w:rsidRDefault="00940546" w:rsidP="00C3144A">
      <w:pPr>
        <w:pStyle w:val="BodyText"/>
        <w:spacing w:before="5" w:line="360" w:lineRule="auto"/>
        <w:jc w:val="both"/>
        <w:rPr>
          <w:sz w:val="20"/>
          <w:szCs w:val="20"/>
        </w:rPr>
      </w:pPr>
      <w:r w:rsidRPr="00C3144A">
        <w:rPr>
          <w:noProof/>
          <w:sz w:val="20"/>
          <w:szCs w:val="20"/>
          <w:lang w:val="en-IN" w:eastAsia="en-IN"/>
        </w:rPr>
        <w:lastRenderedPageBreak/>
        <mc:AlternateContent>
          <mc:Choice Requires="wps">
            <w:drawing>
              <wp:anchor distT="0" distB="0" distL="0" distR="0" simplePos="0" relativeHeight="251675648" behindDoc="1" locked="0" layoutInCell="1" allowOverlap="1" wp14:anchorId="18930226" wp14:editId="5AC62F9D">
                <wp:simplePos x="0" y="0"/>
                <wp:positionH relativeFrom="page">
                  <wp:posOffset>739140</wp:posOffset>
                </wp:positionH>
                <wp:positionV relativeFrom="paragraph">
                  <wp:posOffset>161925</wp:posOffset>
                </wp:positionV>
                <wp:extent cx="6314440" cy="155448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155448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2C1FD7" w14:textId="77777777" w:rsidR="00750DB7" w:rsidRDefault="00750DB7" w:rsidP="00940546">
                            <w:pPr>
                              <w:pStyle w:val="BodyText"/>
                              <w:spacing w:before="82"/>
                              <w:ind w:left="83"/>
                            </w:pPr>
                            <w:r>
                              <w:t>From “CRITERIA FOR ELECTROPHYSIOLOGICAL CLASSIFICATION “(38)</w:t>
                            </w:r>
                          </w:p>
                          <w:p w14:paraId="66CE78E8" w14:textId="77777777" w:rsidR="00750DB7" w:rsidRDefault="00750DB7" w:rsidP="00940546">
                            <w:pPr>
                              <w:pStyle w:val="BodyText"/>
                              <w:spacing w:before="1"/>
                            </w:pPr>
                          </w:p>
                          <w:p w14:paraId="1A015B96" w14:textId="77777777" w:rsidR="00750DB7" w:rsidRDefault="00750DB7" w:rsidP="00940546">
                            <w:pPr>
                              <w:pStyle w:val="BodyText"/>
                              <w:spacing w:line="252" w:lineRule="exact"/>
                              <w:ind w:left="83"/>
                            </w:pPr>
                            <w:r>
                              <w:t>PRIMARY DEMIELINATING</w:t>
                            </w:r>
                          </w:p>
                          <w:p w14:paraId="41235445" w14:textId="77777777" w:rsidR="00750DB7" w:rsidRDefault="00750DB7" w:rsidP="00940546">
                            <w:pPr>
                              <w:pStyle w:val="BodyText"/>
                              <w:ind w:left="83"/>
                            </w:pPr>
                            <w:r>
                              <w:t xml:space="preserve">(At least one of the following in each of at least two nerves, or at least two of the following in one nerve if all others are </w:t>
                            </w:r>
                            <w:proofErr w:type="spellStart"/>
                            <w:r>
                              <w:t>inexcitable</w:t>
                            </w:r>
                            <w:proofErr w:type="spellEnd"/>
                            <w:r>
                              <w:t xml:space="preserve"> and </w:t>
                            </w:r>
                            <w:proofErr w:type="spellStart"/>
                            <w:r>
                              <w:t>dCMAP</w:t>
                            </w:r>
                            <w:proofErr w:type="spellEnd"/>
                            <w:r>
                              <w:rPr>
                                <w:color w:val="1F2023"/>
                              </w:rPr>
                              <w:t xml:space="preserve">≥ </w:t>
                            </w:r>
                            <w:r>
                              <w:t>10%LLN)</w:t>
                            </w:r>
                          </w:p>
                          <w:p w14:paraId="0364BF8D" w14:textId="77777777" w:rsidR="00750DB7" w:rsidRDefault="00750DB7" w:rsidP="00940546">
                            <w:pPr>
                              <w:pStyle w:val="BodyText"/>
                              <w:ind w:left="84" w:right="5389"/>
                            </w:pPr>
                            <w:r>
                              <w:t xml:space="preserve">MCV&lt;90% LLN (85% if </w:t>
                            </w:r>
                            <w:proofErr w:type="spellStart"/>
                            <w:r>
                              <w:t>dCMAP</w:t>
                            </w:r>
                            <w:proofErr w:type="spellEnd"/>
                            <w:r>
                              <w:t xml:space="preserve">&lt;50% LLN) DML&gt;110% ULN (120% if </w:t>
                            </w:r>
                            <w:proofErr w:type="spellStart"/>
                            <w:r>
                              <w:t>dCMAP</w:t>
                            </w:r>
                            <w:proofErr w:type="spellEnd"/>
                            <w:r>
                              <w:t>&lt;100% LLN)</w:t>
                            </w:r>
                          </w:p>
                          <w:p w14:paraId="4B152797" w14:textId="77777777" w:rsidR="00750DB7" w:rsidRDefault="00750DB7" w:rsidP="00940546">
                            <w:pPr>
                              <w:pStyle w:val="BodyText"/>
                              <w:ind w:left="83" w:right="5172"/>
                            </w:pPr>
                            <w:proofErr w:type="spellStart"/>
                            <w:r>
                              <w:t>pCMAP</w:t>
                            </w:r>
                            <w:proofErr w:type="spellEnd"/>
                            <w:r>
                              <w:t>/</w:t>
                            </w:r>
                            <w:proofErr w:type="spellStart"/>
                            <w:r>
                              <w:t>dCMAP</w:t>
                            </w:r>
                            <w:proofErr w:type="spellEnd"/>
                            <w:r>
                              <w:t xml:space="preserve"> ratio&lt;0,5 and </w:t>
                            </w:r>
                            <w:proofErr w:type="spellStart"/>
                            <w:r>
                              <w:t>dCMAP</w:t>
                            </w:r>
                            <w:proofErr w:type="spellEnd"/>
                            <w:r>
                              <w:t xml:space="preserve"> </w:t>
                            </w:r>
                            <w:r>
                              <w:rPr>
                                <w:color w:val="1F2023"/>
                              </w:rPr>
                              <w:t xml:space="preserve">≥ </w:t>
                            </w:r>
                            <w:r>
                              <w:t>20% LLN F response latency &gt;120%VLN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30226" id="_x0000_t202" coordsize="21600,21600" o:spt="202" path="m,l,21600r21600,l21600,xe">
                <v:stroke joinstyle="miter"/>
                <v:path gradientshapeok="t" o:connecttype="rect"/>
              </v:shapetype>
              <v:shape id="Text Box 2" o:spid="_x0000_s1026" type="#_x0000_t202" style="position:absolute;left:0;text-align:left;margin-left:58.2pt;margin-top:12.75pt;width:497.2pt;height:122.4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" filled="f" strokeweight=".24pt">
                <v:textbox inset="0,0,0,0">
                  <w:txbxContent>
                    <w:p w14:paraId="7B2C1FD7" w14:textId="77777777" w:rsidR="00750DB7" w:rsidRDefault="00750DB7" w:rsidP="00940546">
                      <w:pPr>
                        <w:pStyle w:val="BodyText"/>
                        <w:spacing w:before="82"/>
                        <w:ind w:left="83"/>
                      </w:pPr>
                      <w:r>
                        <w:t>From “CRITERIA FOR ELECTROPHYSIOLOGICAL CLASSIFICATION “(38)</w:t>
                      </w:r>
                    </w:p>
                    <w:p w14:paraId="66CE78E8" w14:textId="77777777" w:rsidR="00750DB7" w:rsidRDefault="00750DB7" w:rsidP="00940546">
                      <w:pPr>
                        <w:pStyle w:val="BodyText"/>
                        <w:spacing w:before="1"/>
                      </w:pPr>
                    </w:p>
                    <w:p w14:paraId="1A015B96" w14:textId="77777777" w:rsidR="00750DB7" w:rsidRDefault="00750DB7" w:rsidP="00940546">
                      <w:pPr>
                        <w:pStyle w:val="BodyText"/>
                        <w:spacing w:line="252" w:lineRule="exact"/>
                        <w:ind w:left="83"/>
                      </w:pPr>
                      <w:r>
                        <w:t>PRIMARY DEMIELINATING</w:t>
                      </w:r>
                    </w:p>
                    <w:p w14:paraId="41235445" w14:textId="77777777" w:rsidR="00750DB7" w:rsidRDefault="00750DB7" w:rsidP="00940546">
                      <w:pPr>
                        <w:pStyle w:val="BodyText"/>
                        <w:ind w:left="83"/>
                      </w:pPr>
                      <w:r>
                        <w:t xml:space="preserve">(At least one of the following in each of at least two nerves, or at least two of the following in one nerve if all others are </w:t>
                      </w:r>
                      <w:proofErr w:type="spellStart"/>
                      <w:r>
                        <w:t>inexcitable</w:t>
                      </w:r>
                      <w:proofErr w:type="spellEnd"/>
                      <w:r>
                        <w:t xml:space="preserve"> and </w:t>
                      </w:r>
                      <w:proofErr w:type="spellStart"/>
                      <w:r>
                        <w:t>dCMAP</w:t>
                      </w:r>
                      <w:proofErr w:type="spellEnd"/>
                      <w:r>
                        <w:rPr>
                          <w:color w:val="1F2023"/>
                        </w:rPr>
                        <w:t xml:space="preserve">≥ </w:t>
                      </w:r>
                      <w:r>
                        <w:t>10%LLN)</w:t>
                      </w:r>
                    </w:p>
                    <w:p w14:paraId="0364BF8D" w14:textId="77777777" w:rsidR="00750DB7" w:rsidRDefault="00750DB7" w:rsidP="00940546">
                      <w:pPr>
                        <w:pStyle w:val="BodyText"/>
                        <w:ind w:left="84" w:right="5389"/>
                      </w:pPr>
                      <w:r>
                        <w:t xml:space="preserve">MCV&lt;90% LLN (85% if </w:t>
                      </w:r>
                      <w:proofErr w:type="spellStart"/>
                      <w:r>
                        <w:t>dCMAP</w:t>
                      </w:r>
                      <w:proofErr w:type="spellEnd"/>
                      <w:r>
                        <w:t xml:space="preserve">&lt;50% LLN) DML&gt;110% ULN (120% if </w:t>
                      </w:r>
                      <w:proofErr w:type="spellStart"/>
                      <w:r>
                        <w:t>dCMAP</w:t>
                      </w:r>
                      <w:proofErr w:type="spellEnd"/>
                      <w:r>
                        <w:t>&lt;100% LLN)</w:t>
                      </w:r>
                    </w:p>
                    <w:p w14:paraId="4B152797" w14:textId="77777777" w:rsidR="00750DB7" w:rsidRDefault="00750DB7" w:rsidP="00940546">
                      <w:pPr>
                        <w:pStyle w:val="BodyText"/>
                        <w:ind w:left="83" w:right="5172"/>
                      </w:pPr>
                      <w:proofErr w:type="spellStart"/>
                      <w:r>
                        <w:t>pCMAP</w:t>
                      </w:r>
                      <w:proofErr w:type="spellEnd"/>
                      <w:r>
                        <w:t>/</w:t>
                      </w:r>
                      <w:proofErr w:type="spellStart"/>
                      <w:r>
                        <w:t>dCMAP</w:t>
                      </w:r>
                      <w:proofErr w:type="spellEnd"/>
                      <w:r>
                        <w:t xml:space="preserve"> ratio&lt;0,5 and </w:t>
                      </w:r>
                      <w:proofErr w:type="spellStart"/>
                      <w:r>
                        <w:t>dCMAP</w:t>
                      </w:r>
                      <w:proofErr w:type="spellEnd"/>
                      <w:r>
                        <w:t xml:space="preserve"> </w:t>
                      </w:r>
                      <w:r>
                        <w:rPr>
                          <w:color w:val="1F2023"/>
                        </w:rPr>
                        <w:t xml:space="preserve">≥ </w:t>
                      </w:r>
                      <w:r>
                        <w:t>20% LLN F response latency &gt;120%VLN</w:t>
                      </w:r>
                    </w:p>
                  </w:txbxContent>
                </v:textbox>
                <w10:wrap type="topAndBottom" anchorx="page"/>
              </v:shape>
            </w:pict>
          </mc:Fallback>
        </mc:AlternateContent>
      </w:r>
    </w:p>
    <w:p w14:paraId="11713DE6" w14:textId="77777777" w:rsidR="00940546" w:rsidRPr="00C3144A" w:rsidRDefault="00940546" w:rsidP="00C3144A">
      <w:pPr>
        <w:pStyle w:val="BodyText"/>
        <w:spacing w:line="360" w:lineRule="auto"/>
        <w:jc w:val="both"/>
        <w:rPr>
          <w:sz w:val="20"/>
          <w:szCs w:val="20"/>
        </w:rPr>
      </w:pPr>
    </w:p>
    <w:p w14:paraId="406064E4" w14:textId="77777777" w:rsidR="00940546" w:rsidRPr="00C3144A" w:rsidRDefault="00940546" w:rsidP="00C3144A">
      <w:pPr>
        <w:pStyle w:val="BodyText"/>
        <w:spacing w:before="1" w:line="360" w:lineRule="auto"/>
        <w:jc w:val="both"/>
        <w:rPr>
          <w:sz w:val="20"/>
          <w:szCs w:val="20"/>
        </w:rPr>
      </w:pPr>
    </w:p>
    <w:p w14:paraId="4D0B4B7B" w14:textId="77777777" w:rsidR="00940546" w:rsidRPr="00C3144A" w:rsidRDefault="00940546" w:rsidP="00C3144A">
      <w:pPr>
        <w:pStyle w:val="BodyText"/>
        <w:spacing w:line="360" w:lineRule="auto"/>
        <w:ind w:left="115"/>
        <w:jc w:val="both"/>
        <w:rPr>
          <w:sz w:val="20"/>
          <w:szCs w:val="20"/>
        </w:rPr>
      </w:pPr>
      <w:r w:rsidRPr="00C3144A">
        <w:rPr>
          <w:sz w:val="20"/>
          <w:szCs w:val="20"/>
        </w:rPr>
        <w:t>Serum antiganglioside antibody detection has been performed: no antibody detected.</w:t>
      </w:r>
    </w:p>
    <w:p w14:paraId="455B808E" w14:textId="3853533C" w:rsidR="00940546" w:rsidRDefault="00940546" w:rsidP="00C3144A">
      <w:pPr>
        <w:pStyle w:val="BodyText"/>
        <w:spacing w:before="2" w:line="360" w:lineRule="auto"/>
        <w:ind w:left="115" w:right="134"/>
        <w:jc w:val="both"/>
        <w:rPr>
          <w:sz w:val="20"/>
          <w:szCs w:val="20"/>
        </w:rPr>
      </w:pPr>
      <w:r w:rsidRPr="00C3144A">
        <w:rPr>
          <w:sz w:val="20"/>
          <w:szCs w:val="20"/>
        </w:rPr>
        <w:t xml:space="preserve">With reference to NINDS criteria 1978 revised in 1990 (39-40) and subsequently modified in a review paper (41), we could make a diagnosis of </w:t>
      </w:r>
      <w:proofErr w:type="spellStart"/>
      <w:r w:rsidRPr="00C3144A">
        <w:rPr>
          <w:sz w:val="20"/>
          <w:szCs w:val="20"/>
        </w:rPr>
        <w:t>Guillain</w:t>
      </w:r>
      <w:proofErr w:type="spellEnd"/>
      <w:r w:rsidRPr="00C3144A">
        <w:rPr>
          <w:sz w:val="20"/>
          <w:szCs w:val="20"/>
        </w:rPr>
        <w:t xml:space="preserve"> </w:t>
      </w:r>
      <w:proofErr w:type="spellStart"/>
      <w:r w:rsidRPr="00C3144A">
        <w:rPr>
          <w:sz w:val="20"/>
          <w:szCs w:val="20"/>
        </w:rPr>
        <w:t>Barrè</w:t>
      </w:r>
      <w:proofErr w:type="spellEnd"/>
      <w:r w:rsidRPr="00C3144A">
        <w:rPr>
          <w:sz w:val="20"/>
          <w:szCs w:val="20"/>
        </w:rPr>
        <w:t xml:space="preserve"> syndrome.</w:t>
      </w:r>
    </w:p>
    <w:p w14:paraId="6FACE54F" w14:textId="77777777" w:rsidR="002F028F" w:rsidRPr="00C3144A" w:rsidRDefault="002F028F" w:rsidP="00C3144A">
      <w:pPr>
        <w:pStyle w:val="BodyText"/>
        <w:spacing w:before="2" w:line="360" w:lineRule="auto"/>
        <w:ind w:left="115" w:right="134"/>
        <w:jc w:val="both"/>
        <w:rPr>
          <w:sz w:val="20"/>
          <w:szCs w:val="20"/>
        </w:rPr>
      </w:pPr>
    </w:p>
    <w:p w14:paraId="625F9D61" w14:textId="77777777" w:rsidR="00940546" w:rsidRPr="00C3144A" w:rsidRDefault="00940546" w:rsidP="00C3144A">
      <w:pPr>
        <w:pStyle w:val="BodyText"/>
        <w:spacing w:line="360" w:lineRule="auto"/>
        <w:ind w:left="115" w:right="133"/>
        <w:jc w:val="both"/>
        <w:rPr>
          <w:sz w:val="20"/>
          <w:szCs w:val="20"/>
        </w:rPr>
      </w:pPr>
      <w:r w:rsidRPr="00C3144A">
        <w:rPr>
          <w:sz w:val="20"/>
          <w:szCs w:val="20"/>
        </w:rPr>
        <w:t>The day after the electrophysiological study (on the eight day from the onset of symptoms), she underwent an immunoglobulin cycle (0.4 g/kg/day for 5 days) with improvement of the clinical conditions (plasmapheresis wasn’t performed in our hospital).</w:t>
      </w:r>
    </w:p>
    <w:p w14:paraId="09256B42" w14:textId="56E5F099" w:rsidR="00940546" w:rsidRDefault="00940546" w:rsidP="00C3144A">
      <w:pPr>
        <w:pStyle w:val="BodyText"/>
        <w:spacing w:line="360" w:lineRule="auto"/>
        <w:ind w:left="115" w:right="133"/>
        <w:jc w:val="both"/>
        <w:rPr>
          <w:sz w:val="20"/>
          <w:szCs w:val="20"/>
        </w:rPr>
      </w:pPr>
      <w:r w:rsidRPr="00C3144A">
        <w:rPr>
          <w:sz w:val="20"/>
          <w:szCs w:val="20"/>
        </w:rPr>
        <w:t xml:space="preserve">During the subsequent hospitalization there was a gradual progressive improvement. The patient began to walk under the supervision of the </w:t>
      </w:r>
      <w:proofErr w:type="spellStart"/>
      <w:r w:rsidRPr="00C3144A">
        <w:rPr>
          <w:sz w:val="20"/>
          <w:szCs w:val="20"/>
        </w:rPr>
        <w:t>physioterapists</w:t>
      </w:r>
      <w:proofErr w:type="spellEnd"/>
      <w:r w:rsidRPr="00C3144A">
        <w:rPr>
          <w:sz w:val="20"/>
          <w:szCs w:val="20"/>
        </w:rPr>
        <w:t>, first with a walker and then with a single support. GBS disability scale: 1.</w:t>
      </w:r>
    </w:p>
    <w:p w14:paraId="4E4C02CF" w14:textId="77777777" w:rsidR="002F028F" w:rsidRPr="00C3144A" w:rsidRDefault="002F028F" w:rsidP="00C3144A">
      <w:pPr>
        <w:pStyle w:val="BodyText"/>
        <w:spacing w:line="360" w:lineRule="auto"/>
        <w:ind w:left="115" w:right="133"/>
        <w:jc w:val="both"/>
        <w:rPr>
          <w:sz w:val="20"/>
          <w:szCs w:val="20"/>
        </w:rPr>
      </w:pPr>
    </w:p>
    <w:p w14:paraId="7B906E5B" w14:textId="5514A83F" w:rsidR="00940546" w:rsidRDefault="00940546" w:rsidP="00C3144A">
      <w:pPr>
        <w:pStyle w:val="BodyText"/>
        <w:spacing w:line="360" w:lineRule="auto"/>
        <w:ind w:left="115" w:right="140"/>
        <w:jc w:val="both"/>
        <w:rPr>
          <w:sz w:val="20"/>
          <w:szCs w:val="20"/>
        </w:rPr>
      </w:pPr>
      <w:r w:rsidRPr="00C3144A">
        <w:rPr>
          <w:sz w:val="20"/>
          <w:szCs w:val="20"/>
        </w:rPr>
        <w:t>On the nineteenth day of hospitalization, after an electrophysiological check substantially unchanged compared to the previous one, she was transferred to the Intensive Rehabilitation Department of our hospital.</w:t>
      </w:r>
    </w:p>
    <w:p w14:paraId="14876C0E" w14:textId="77777777" w:rsidR="002F028F" w:rsidRPr="00C3144A" w:rsidRDefault="002F028F" w:rsidP="00C3144A">
      <w:pPr>
        <w:pStyle w:val="BodyText"/>
        <w:spacing w:line="360" w:lineRule="auto"/>
        <w:ind w:left="115" w:right="140"/>
        <w:jc w:val="both"/>
        <w:rPr>
          <w:sz w:val="20"/>
          <w:szCs w:val="20"/>
        </w:rPr>
      </w:pPr>
    </w:p>
    <w:p w14:paraId="6EE69FC7" w14:textId="2A490F88" w:rsidR="00940546" w:rsidRDefault="00940546" w:rsidP="00C3144A">
      <w:pPr>
        <w:pStyle w:val="BodyText"/>
        <w:spacing w:line="360" w:lineRule="auto"/>
        <w:ind w:left="115" w:right="128" w:hanging="1"/>
        <w:jc w:val="both"/>
        <w:rPr>
          <w:sz w:val="20"/>
          <w:szCs w:val="20"/>
        </w:rPr>
      </w:pPr>
      <w:r w:rsidRPr="00C3144A">
        <w:rPr>
          <w:sz w:val="20"/>
          <w:szCs w:val="20"/>
        </w:rPr>
        <w:t xml:space="preserve">After an initial continuation of clinical recovery with clear benefit of physiotherapy, our patient presented </w:t>
      </w:r>
      <w:r w:rsidRPr="00C3144A">
        <w:rPr>
          <w:color w:val="202020"/>
          <w:sz w:val="20"/>
          <w:szCs w:val="20"/>
        </w:rPr>
        <w:t xml:space="preserve">on the </w:t>
      </w:r>
      <w:r w:rsidRPr="00C3144A">
        <w:rPr>
          <w:sz w:val="20"/>
          <w:szCs w:val="20"/>
        </w:rPr>
        <w:t>15th day after the transfer, weakness in the lower extremities widely (MRC4/5 bilaterally and widely).</w:t>
      </w:r>
    </w:p>
    <w:p w14:paraId="4FE5A1F5" w14:textId="77777777" w:rsidR="002F028F" w:rsidRPr="00C3144A" w:rsidRDefault="002F028F" w:rsidP="00C3144A">
      <w:pPr>
        <w:pStyle w:val="BodyText"/>
        <w:spacing w:line="360" w:lineRule="auto"/>
        <w:ind w:left="115" w:right="128" w:hanging="1"/>
        <w:jc w:val="both"/>
        <w:rPr>
          <w:sz w:val="20"/>
          <w:szCs w:val="20"/>
        </w:rPr>
      </w:pPr>
    </w:p>
    <w:p w14:paraId="208C85EA" w14:textId="77777777" w:rsidR="00940546" w:rsidRPr="00C3144A" w:rsidRDefault="00940546" w:rsidP="00C3144A">
      <w:pPr>
        <w:pStyle w:val="BodyText"/>
        <w:spacing w:line="360" w:lineRule="auto"/>
        <w:ind w:left="115" w:right="7982"/>
        <w:jc w:val="both"/>
        <w:rPr>
          <w:sz w:val="20"/>
          <w:szCs w:val="20"/>
        </w:rPr>
      </w:pPr>
      <w:r w:rsidRPr="00C3144A">
        <w:rPr>
          <w:sz w:val="20"/>
          <w:szCs w:val="20"/>
        </w:rPr>
        <w:t>MRC sum score: 54/60. GBS disability scale: 3.</w:t>
      </w:r>
    </w:p>
    <w:p w14:paraId="49FA15C8" w14:textId="0228D70C" w:rsidR="00940546" w:rsidRPr="00C3144A" w:rsidRDefault="00940546" w:rsidP="00C3144A">
      <w:pPr>
        <w:pStyle w:val="BodyText"/>
        <w:spacing w:line="360" w:lineRule="auto"/>
        <w:ind w:left="115"/>
        <w:jc w:val="both"/>
        <w:rPr>
          <w:sz w:val="20"/>
          <w:szCs w:val="20"/>
        </w:rPr>
      </w:pPr>
      <w:r w:rsidRPr="00C3144A">
        <w:rPr>
          <w:sz w:val="20"/>
          <w:szCs w:val="20"/>
        </w:rPr>
        <w:t xml:space="preserve">It was interpreted as treatment related fluctuation (TRF) </w:t>
      </w:r>
      <w:r w:rsidR="002F028F">
        <w:rPr>
          <w:sz w:val="20"/>
          <w:szCs w:val="20"/>
        </w:rPr>
        <w:t>[</w:t>
      </w:r>
      <w:r w:rsidRPr="00C3144A">
        <w:rPr>
          <w:sz w:val="20"/>
          <w:szCs w:val="20"/>
        </w:rPr>
        <w:t>36</w:t>
      </w:r>
      <w:r w:rsidR="002F028F">
        <w:rPr>
          <w:sz w:val="20"/>
          <w:szCs w:val="20"/>
        </w:rPr>
        <w:t>]</w:t>
      </w:r>
      <w:r w:rsidRPr="00C3144A">
        <w:rPr>
          <w:sz w:val="20"/>
          <w:szCs w:val="20"/>
        </w:rPr>
        <w:t>.</w:t>
      </w:r>
    </w:p>
    <w:p w14:paraId="1A228734" w14:textId="77777777" w:rsidR="00940546" w:rsidRPr="00C3144A" w:rsidRDefault="00940546" w:rsidP="00C3144A">
      <w:pPr>
        <w:pStyle w:val="BodyText"/>
        <w:spacing w:before="2" w:line="360" w:lineRule="auto"/>
        <w:ind w:left="115"/>
        <w:jc w:val="both"/>
        <w:rPr>
          <w:sz w:val="20"/>
          <w:szCs w:val="20"/>
        </w:rPr>
      </w:pPr>
      <w:r w:rsidRPr="00C3144A">
        <w:rPr>
          <w:sz w:val="20"/>
          <w:szCs w:val="20"/>
        </w:rPr>
        <w:t>A new electrodiagnostic test was performed: it revealed a worsening compared to the previous control.</w:t>
      </w:r>
    </w:p>
    <w:p w14:paraId="649BBCB9" w14:textId="77777777" w:rsidR="00940546" w:rsidRDefault="00940546" w:rsidP="00C3144A">
      <w:pPr>
        <w:spacing w:line="360" w:lineRule="auto"/>
        <w:jc w:val="both"/>
        <w:rPr>
          <w:sz w:val="20"/>
          <w:szCs w:val="20"/>
        </w:rPr>
      </w:pPr>
    </w:p>
    <w:p w14:paraId="3BCA545C" w14:textId="77777777" w:rsidR="00515173" w:rsidRDefault="00515173" w:rsidP="00C3144A">
      <w:pPr>
        <w:spacing w:line="360" w:lineRule="auto"/>
        <w:jc w:val="both"/>
        <w:rPr>
          <w:sz w:val="20"/>
          <w:szCs w:val="20"/>
        </w:rPr>
      </w:pPr>
    </w:p>
    <w:tbl>
      <w:tblPr>
        <w:tblW w:w="0" w:type="auto"/>
        <w:tblInd w:w="135" w:type="dxa"/>
        <w:tblBorders>
          <w:top w:val="single" w:sz="12" w:space="0" w:color="CDCDCD"/>
          <w:left w:val="single" w:sz="12" w:space="0" w:color="CDCDCD"/>
          <w:bottom w:val="single" w:sz="12" w:space="0" w:color="CDCDCD"/>
          <w:right w:val="single" w:sz="12" w:space="0" w:color="CDCDCD"/>
          <w:insideH w:val="single" w:sz="12" w:space="0" w:color="CDCDCD"/>
          <w:insideV w:val="single" w:sz="12" w:space="0" w:color="CDCDCD"/>
        </w:tblBorders>
        <w:tblLayout w:type="fixed"/>
        <w:tblCellMar>
          <w:left w:w="0" w:type="dxa"/>
          <w:right w:w="0" w:type="dxa"/>
        </w:tblCellMar>
        <w:tblLook w:val="01E0" w:firstRow="1" w:lastRow="1" w:firstColumn="1" w:lastColumn="1" w:noHBand="0" w:noVBand="0"/>
      </w:tblPr>
      <w:tblGrid>
        <w:gridCol w:w="2405"/>
        <w:gridCol w:w="1011"/>
        <w:gridCol w:w="1100"/>
        <w:gridCol w:w="1585"/>
        <w:gridCol w:w="1511"/>
        <w:gridCol w:w="978"/>
        <w:gridCol w:w="1388"/>
      </w:tblGrid>
      <w:tr w:rsidR="00940546" w:rsidRPr="00C3144A" w14:paraId="190832B9" w14:textId="77777777" w:rsidTr="00750DB7">
        <w:trPr>
          <w:trHeight w:val="274"/>
        </w:trPr>
        <w:tc>
          <w:tcPr>
            <w:tcW w:w="2405" w:type="dxa"/>
          </w:tcPr>
          <w:p w14:paraId="3B3DC7D5" w14:textId="77777777" w:rsidR="00940546" w:rsidRPr="00C3144A" w:rsidRDefault="00940546" w:rsidP="00C3144A">
            <w:pPr>
              <w:pStyle w:val="TableParagraph"/>
              <w:spacing w:before="15" w:line="360" w:lineRule="auto"/>
              <w:jc w:val="both"/>
              <w:rPr>
                <w:b/>
                <w:sz w:val="20"/>
                <w:szCs w:val="20"/>
              </w:rPr>
            </w:pPr>
            <w:r w:rsidRPr="00C3144A">
              <w:rPr>
                <w:b/>
                <w:sz w:val="20"/>
                <w:szCs w:val="20"/>
              </w:rPr>
              <w:t>Motor</w:t>
            </w:r>
          </w:p>
        </w:tc>
        <w:tc>
          <w:tcPr>
            <w:tcW w:w="1011" w:type="dxa"/>
          </w:tcPr>
          <w:p w14:paraId="4C281A68" w14:textId="77777777" w:rsidR="00940546" w:rsidRPr="00C3144A" w:rsidRDefault="00940546" w:rsidP="00C3144A">
            <w:pPr>
              <w:pStyle w:val="TableParagraph"/>
              <w:spacing w:before="15" w:line="360" w:lineRule="auto"/>
              <w:ind w:left="22"/>
              <w:jc w:val="both"/>
              <w:rPr>
                <w:b/>
                <w:sz w:val="20"/>
                <w:szCs w:val="20"/>
              </w:rPr>
            </w:pPr>
            <w:r w:rsidRPr="00C3144A">
              <w:rPr>
                <w:b/>
                <w:sz w:val="20"/>
                <w:szCs w:val="20"/>
              </w:rPr>
              <w:t>Lat onset</w:t>
            </w:r>
          </w:p>
        </w:tc>
        <w:tc>
          <w:tcPr>
            <w:tcW w:w="1100" w:type="dxa"/>
          </w:tcPr>
          <w:p w14:paraId="3989F46E" w14:textId="77777777" w:rsidR="00940546" w:rsidRPr="00C3144A" w:rsidRDefault="00940546" w:rsidP="00C3144A">
            <w:pPr>
              <w:pStyle w:val="TableParagraph"/>
              <w:spacing w:before="15" w:line="360" w:lineRule="auto"/>
              <w:ind w:left="0" w:right="374"/>
              <w:jc w:val="both"/>
              <w:rPr>
                <w:b/>
                <w:sz w:val="20"/>
                <w:szCs w:val="20"/>
              </w:rPr>
            </w:pPr>
            <w:proofErr w:type="spellStart"/>
            <w:r w:rsidRPr="00C3144A">
              <w:rPr>
                <w:b/>
                <w:w w:val="95"/>
                <w:sz w:val="20"/>
                <w:szCs w:val="20"/>
              </w:rPr>
              <w:t>Dist</w:t>
            </w:r>
            <w:proofErr w:type="spellEnd"/>
          </w:p>
        </w:tc>
        <w:tc>
          <w:tcPr>
            <w:tcW w:w="1585" w:type="dxa"/>
          </w:tcPr>
          <w:p w14:paraId="7C72E1F8" w14:textId="77777777" w:rsidR="00940546" w:rsidRPr="00C3144A" w:rsidRDefault="00940546" w:rsidP="00C3144A">
            <w:pPr>
              <w:pStyle w:val="TableParagraph"/>
              <w:spacing w:before="15" w:line="360" w:lineRule="auto"/>
              <w:ind w:left="568" w:right="546"/>
              <w:jc w:val="both"/>
              <w:rPr>
                <w:b/>
                <w:sz w:val="20"/>
                <w:szCs w:val="20"/>
              </w:rPr>
            </w:pPr>
            <w:proofErr w:type="spellStart"/>
            <w:r w:rsidRPr="00C3144A">
              <w:rPr>
                <w:b/>
                <w:sz w:val="20"/>
                <w:szCs w:val="20"/>
              </w:rPr>
              <w:t>Vcm</w:t>
            </w:r>
            <w:proofErr w:type="spellEnd"/>
          </w:p>
        </w:tc>
        <w:tc>
          <w:tcPr>
            <w:tcW w:w="1511" w:type="dxa"/>
          </w:tcPr>
          <w:p w14:paraId="5E53E845" w14:textId="77777777" w:rsidR="00940546" w:rsidRPr="00C3144A" w:rsidRDefault="00940546" w:rsidP="00C3144A">
            <w:pPr>
              <w:pStyle w:val="TableParagraph"/>
              <w:spacing w:before="15" w:line="360" w:lineRule="auto"/>
              <w:ind w:left="375" w:right="359"/>
              <w:jc w:val="both"/>
              <w:rPr>
                <w:b/>
                <w:sz w:val="20"/>
                <w:szCs w:val="20"/>
              </w:rPr>
            </w:pPr>
            <w:r w:rsidRPr="00C3144A">
              <w:rPr>
                <w:b/>
                <w:sz w:val="20"/>
                <w:szCs w:val="20"/>
              </w:rPr>
              <w:t>Area tot</w:t>
            </w:r>
          </w:p>
        </w:tc>
        <w:tc>
          <w:tcPr>
            <w:tcW w:w="978" w:type="dxa"/>
          </w:tcPr>
          <w:p w14:paraId="54027E99" w14:textId="77777777" w:rsidR="00940546" w:rsidRPr="00C3144A" w:rsidRDefault="00940546" w:rsidP="00C3144A">
            <w:pPr>
              <w:pStyle w:val="TableParagraph"/>
              <w:spacing w:before="15" w:line="360" w:lineRule="auto"/>
              <w:ind w:left="72" w:right="62"/>
              <w:jc w:val="both"/>
              <w:rPr>
                <w:b/>
                <w:sz w:val="20"/>
                <w:szCs w:val="20"/>
              </w:rPr>
            </w:pPr>
            <w:r w:rsidRPr="00C3144A">
              <w:rPr>
                <w:b/>
                <w:sz w:val="20"/>
                <w:szCs w:val="20"/>
              </w:rPr>
              <w:t>Amp neg</w:t>
            </w:r>
          </w:p>
        </w:tc>
        <w:tc>
          <w:tcPr>
            <w:tcW w:w="1388" w:type="dxa"/>
          </w:tcPr>
          <w:p w14:paraId="7EBFA41F" w14:textId="77777777" w:rsidR="00940546" w:rsidRPr="00C3144A" w:rsidRDefault="00940546" w:rsidP="00C3144A">
            <w:pPr>
              <w:pStyle w:val="TableParagraph"/>
              <w:spacing w:before="15" w:line="360" w:lineRule="auto"/>
              <w:ind w:left="107" w:right="99"/>
              <w:jc w:val="both"/>
              <w:rPr>
                <w:b/>
                <w:sz w:val="20"/>
                <w:szCs w:val="20"/>
              </w:rPr>
            </w:pPr>
            <w:r w:rsidRPr="00C3144A">
              <w:rPr>
                <w:b/>
                <w:sz w:val="20"/>
                <w:szCs w:val="20"/>
              </w:rPr>
              <w:t>Diff amp neg</w:t>
            </w:r>
          </w:p>
        </w:tc>
      </w:tr>
      <w:tr w:rsidR="00940546" w:rsidRPr="00C3144A" w14:paraId="446C1AC5" w14:textId="77777777" w:rsidTr="00750DB7">
        <w:trPr>
          <w:trHeight w:val="277"/>
        </w:trPr>
        <w:tc>
          <w:tcPr>
            <w:tcW w:w="2405" w:type="dxa"/>
          </w:tcPr>
          <w:p w14:paraId="6A8EA79D" w14:textId="77777777" w:rsidR="00940546" w:rsidRPr="00C3144A" w:rsidRDefault="00940546" w:rsidP="00C3144A">
            <w:pPr>
              <w:pStyle w:val="TableParagraph"/>
              <w:spacing w:before="0" w:line="360" w:lineRule="auto"/>
              <w:ind w:left="0"/>
              <w:jc w:val="both"/>
              <w:rPr>
                <w:sz w:val="20"/>
                <w:szCs w:val="20"/>
              </w:rPr>
            </w:pPr>
          </w:p>
        </w:tc>
        <w:tc>
          <w:tcPr>
            <w:tcW w:w="1011" w:type="dxa"/>
          </w:tcPr>
          <w:p w14:paraId="7DC12C04" w14:textId="77777777" w:rsidR="00940546" w:rsidRPr="00C3144A" w:rsidRDefault="00940546" w:rsidP="00C3144A">
            <w:pPr>
              <w:pStyle w:val="TableParagraph"/>
              <w:spacing w:before="18" w:line="360" w:lineRule="auto"/>
              <w:jc w:val="both"/>
              <w:rPr>
                <w:sz w:val="20"/>
                <w:szCs w:val="20"/>
              </w:rPr>
            </w:pPr>
            <w:proofErr w:type="spellStart"/>
            <w:r w:rsidRPr="00C3144A">
              <w:rPr>
                <w:sz w:val="20"/>
                <w:szCs w:val="20"/>
              </w:rPr>
              <w:t>ms</w:t>
            </w:r>
            <w:proofErr w:type="spellEnd"/>
          </w:p>
        </w:tc>
        <w:tc>
          <w:tcPr>
            <w:tcW w:w="1100" w:type="dxa"/>
          </w:tcPr>
          <w:p w14:paraId="76C28A90" w14:textId="77777777" w:rsidR="00940546" w:rsidRPr="00C3144A" w:rsidRDefault="00940546" w:rsidP="00C3144A">
            <w:pPr>
              <w:pStyle w:val="TableParagraph"/>
              <w:spacing w:before="18" w:line="360" w:lineRule="auto"/>
              <w:ind w:left="0" w:right="369"/>
              <w:jc w:val="both"/>
              <w:rPr>
                <w:sz w:val="20"/>
                <w:szCs w:val="20"/>
              </w:rPr>
            </w:pPr>
            <w:r w:rsidRPr="00C3144A">
              <w:rPr>
                <w:w w:val="95"/>
                <w:sz w:val="20"/>
                <w:szCs w:val="20"/>
              </w:rPr>
              <w:t>mm</w:t>
            </w:r>
          </w:p>
        </w:tc>
        <w:tc>
          <w:tcPr>
            <w:tcW w:w="1585" w:type="dxa"/>
          </w:tcPr>
          <w:p w14:paraId="204AB2EC" w14:textId="77777777" w:rsidR="00940546" w:rsidRPr="00C3144A" w:rsidRDefault="00940546" w:rsidP="00C3144A">
            <w:pPr>
              <w:pStyle w:val="TableParagraph"/>
              <w:spacing w:before="18" w:line="360" w:lineRule="auto"/>
              <w:ind w:left="566" w:right="546"/>
              <w:jc w:val="both"/>
              <w:rPr>
                <w:sz w:val="20"/>
                <w:szCs w:val="20"/>
              </w:rPr>
            </w:pPr>
            <w:r w:rsidRPr="00C3144A">
              <w:rPr>
                <w:sz w:val="20"/>
                <w:szCs w:val="20"/>
              </w:rPr>
              <w:t>m/s</w:t>
            </w:r>
          </w:p>
        </w:tc>
        <w:tc>
          <w:tcPr>
            <w:tcW w:w="1511" w:type="dxa"/>
          </w:tcPr>
          <w:p w14:paraId="6CBEBDE8" w14:textId="77777777" w:rsidR="00940546" w:rsidRPr="00C3144A" w:rsidRDefault="00940546" w:rsidP="00C3144A">
            <w:pPr>
              <w:pStyle w:val="TableParagraph"/>
              <w:spacing w:before="18" w:line="360" w:lineRule="auto"/>
              <w:ind w:left="372" w:right="359"/>
              <w:jc w:val="both"/>
              <w:rPr>
                <w:sz w:val="20"/>
                <w:szCs w:val="20"/>
              </w:rPr>
            </w:pPr>
            <w:proofErr w:type="spellStart"/>
            <w:r w:rsidRPr="00C3144A">
              <w:rPr>
                <w:w w:val="105"/>
                <w:sz w:val="20"/>
                <w:szCs w:val="20"/>
              </w:rPr>
              <w:t>mV·ms</w:t>
            </w:r>
            <w:proofErr w:type="spellEnd"/>
          </w:p>
        </w:tc>
        <w:tc>
          <w:tcPr>
            <w:tcW w:w="978" w:type="dxa"/>
          </w:tcPr>
          <w:p w14:paraId="6C8853A2" w14:textId="77777777" w:rsidR="00940546" w:rsidRPr="00C3144A" w:rsidRDefault="00940546" w:rsidP="00C3144A">
            <w:pPr>
              <w:pStyle w:val="TableParagraph"/>
              <w:spacing w:before="18" w:line="360" w:lineRule="auto"/>
              <w:ind w:left="72" w:right="58"/>
              <w:jc w:val="both"/>
              <w:rPr>
                <w:sz w:val="20"/>
                <w:szCs w:val="20"/>
              </w:rPr>
            </w:pPr>
            <w:r w:rsidRPr="00C3144A">
              <w:rPr>
                <w:sz w:val="20"/>
                <w:szCs w:val="20"/>
              </w:rPr>
              <w:t>mV</w:t>
            </w:r>
          </w:p>
        </w:tc>
        <w:tc>
          <w:tcPr>
            <w:tcW w:w="1388" w:type="dxa"/>
          </w:tcPr>
          <w:p w14:paraId="44FD4C7C" w14:textId="77777777" w:rsidR="00940546" w:rsidRPr="00C3144A" w:rsidRDefault="00940546" w:rsidP="00C3144A">
            <w:pPr>
              <w:pStyle w:val="TableParagraph"/>
              <w:spacing w:before="18" w:line="360" w:lineRule="auto"/>
              <w:ind w:left="10"/>
              <w:jc w:val="both"/>
              <w:rPr>
                <w:sz w:val="20"/>
                <w:szCs w:val="20"/>
              </w:rPr>
            </w:pPr>
            <w:r w:rsidRPr="00C3144A">
              <w:rPr>
                <w:w w:val="99"/>
                <w:sz w:val="20"/>
                <w:szCs w:val="20"/>
              </w:rPr>
              <w:t>%</w:t>
            </w:r>
          </w:p>
        </w:tc>
      </w:tr>
      <w:tr w:rsidR="00940546" w:rsidRPr="00C3144A" w14:paraId="335F60ED" w14:textId="77777777" w:rsidTr="00750DB7">
        <w:trPr>
          <w:trHeight w:val="277"/>
        </w:trPr>
        <w:tc>
          <w:tcPr>
            <w:tcW w:w="9978" w:type="dxa"/>
            <w:gridSpan w:val="7"/>
          </w:tcPr>
          <w:p w14:paraId="024BDCB9" w14:textId="77777777" w:rsidR="00940546" w:rsidRPr="00C3144A" w:rsidRDefault="00940546" w:rsidP="00C3144A">
            <w:pPr>
              <w:pStyle w:val="TableParagraph"/>
              <w:spacing w:before="18" w:line="360" w:lineRule="auto"/>
              <w:jc w:val="both"/>
              <w:rPr>
                <w:b/>
                <w:sz w:val="20"/>
                <w:szCs w:val="20"/>
              </w:rPr>
            </w:pPr>
            <w:proofErr w:type="spellStart"/>
            <w:r w:rsidRPr="00C3144A">
              <w:rPr>
                <w:b/>
                <w:sz w:val="20"/>
                <w:szCs w:val="20"/>
              </w:rPr>
              <w:t>Medianus</w:t>
            </w:r>
            <w:proofErr w:type="spellEnd"/>
            <w:r w:rsidRPr="00C3144A">
              <w:rPr>
                <w:b/>
                <w:sz w:val="20"/>
                <w:szCs w:val="20"/>
              </w:rPr>
              <w:t xml:space="preserve"> </w:t>
            </w:r>
            <w:proofErr w:type="spellStart"/>
            <w:r w:rsidRPr="00C3144A">
              <w:rPr>
                <w:b/>
                <w:sz w:val="20"/>
                <w:szCs w:val="20"/>
              </w:rPr>
              <w:t>Apb</w:t>
            </w:r>
            <w:proofErr w:type="spellEnd"/>
            <w:r w:rsidRPr="00C3144A">
              <w:rPr>
                <w:b/>
                <w:sz w:val="20"/>
                <w:szCs w:val="20"/>
              </w:rPr>
              <w:t xml:space="preserve"> (Left)</w:t>
            </w:r>
          </w:p>
        </w:tc>
      </w:tr>
      <w:tr w:rsidR="00940546" w:rsidRPr="00C3144A" w14:paraId="5845E579" w14:textId="77777777" w:rsidTr="00750DB7">
        <w:trPr>
          <w:trHeight w:val="322"/>
        </w:trPr>
        <w:tc>
          <w:tcPr>
            <w:tcW w:w="2405" w:type="dxa"/>
          </w:tcPr>
          <w:p w14:paraId="6D163505" w14:textId="77777777" w:rsidR="00940546" w:rsidRPr="00C3144A" w:rsidRDefault="00940546" w:rsidP="00C3144A">
            <w:pPr>
              <w:pStyle w:val="TableParagraph"/>
              <w:spacing w:before="19" w:line="360" w:lineRule="auto"/>
              <w:jc w:val="both"/>
              <w:rPr>
                <w:sz w:val="20"/>
                <w:szCs w:val="20"/>
              </w:rPr>
            </w:pPr>
            <w:r w:rsidRPr="00C3144A">
              <w:rPr>
                <w:sz w:val="20"/>
                <w:szCs w:val="20"/>
              </w:rPr>
              <w:t>Wrist-ABP</w:t>
            </w:r>
          </w:p>
        </w:tc>
        <w:tc>
          <w:tcPr>
            <w:tcW w:w="1011" w:type="dxa"/>
          </w:tcPr>
          <w:p w14:paraId="07FCF842" w14:textId="77777777" w:rsidR="00940546" w:rsidRPr="00C3144A" w:rsidRDefault="00940546" w:rsidP="00C3144A">
            <w:pPr>
              <w:pStyle w:val="TableParagraph"/>
              <w:spacing w:line="360" w:lineRule="auto"/>
              <w:ind w:left="24"/>
              <w:jc w:val="both"/>
              <w:rPr>
                <w:b/>
                <w:sz w:val="20"/>
                <w:szCs w:val="20"/>
              </w:rPr>
            </w:pPr>
            <w:r w:rsidRPr="00C3144A">
              <w:rPr>
                <w:b/>
                <w:sz w:val="20"/>
                <w:szCs w:val="20"/>
              </w:rPr>
              <w:t>8,6</w:t>
            </w:r>
          </w:p>
        </w:tc>
        <w:tc>
          <w:tcPr>
            <w:tcW w:w="1100" w:type="dxa"/>
          </w:tcPr>
          <w:p w14:paraId="0ECC9DC6" w14:textId="77777777" w:rsidR="00940546" w:rsidRPr="00C3144A" w:rsidRDefault="00940546" w:rsidP="00C3144A">
            <w:pPr>
              <w:pStyle w:val="TableParagraph"/>
              <w:spacing w:line="360" w:lineRule="auto"/>
              <w:ind w:left="0" w:right="420"/>
              <w:jc w:val="both"/>
              <w:rPr>
                <w:sz w:val="20"/>
                <w:szCs w:val="20"/>
              </w:rPr>
            </w:pPr>
            <w:r w:rsidRPr="00C3144A">
              <w:rPr>
                <w:w w:val="95"/>
                <w:sz w:val="20"/>
                <w:szCs w:val="20"/>
              </w:rPr>
              <w:t>70</w:t>
            </w:r>
          </w:p>
        </w:tc>
        <w:tc>
          <w:tcPr>
            <w:tcW w:w="1585" w:type="dxa"/>
          </w:tcPr>
          <w:p w14:paraId="5ACD6555" w14:textId="77777777" w:rsidR="00940546" w:rsidRPr="00C3144A" w:rsidRDefault="00940546" w:rsidP="00C3144A">
            <w:pPr>
              <w:pStyle w:val="TableParagraph"/>
              <w:spacing w:before="0" w:line="360" w:lineRule="auto"/>
              <w:ind w:left="0"/>
              <w:jc w:val="both"/>
              <w:rPr>
                <w:sz w:val="20"/>
                <w:szCs w:val="20"/>
              </w:rPr>
            </w:pPr>
          </w:p>
        </w:tc>
        <w:tc>
          <w:tcPr>
            <w:tcW w:w="1511" w:type="dxa"/>
          </w:tcPr>
          <w:p w14:paraId="14B554C2" w14:textId="77777777" w:rsidR="00940546" w:rsidRPr="00C3144A" w:rsidRDefault="00940546" w:rsidP="00C3144A">
            <w:pPr>
              <w:pStyle w:val="TableParagraph"/>
              <w:spacing w:line="360" w:lineRule="auto"/>
              <w:ind w:left="370" w:right="359"/>
              <w:jc w:val="both"/>
              <w:rPr>
                <w:sz w:val="20"/>
                <w:szCs w:val="20"/>
              </w:rPr>
            </w:pPr>
            <w:r w:rsidRPr="00C3144A">
              <w:rPr>
                <w:sz w:val="20"/>
                <w:szCs w:val="20"/>
              </w:rPr>
              <w:t>13,3</w:t>
            </w:r>
          </w:p>
        </w:tc>
        <w:tc>
          <w:tcPr>
            <w:tcW w:w="978" w:type="dxa"/>
          </w:tcPr>
          <w:p w14:paraId="0B815904" w14:textId="77777777" w:rsidR="00940546" w:rsidRPr="00C3144A" w:rsidRDefault="00940546" w:rsidP="00C3144A">
            <w:pPr>
              <w:pStyle w:val="TableParagraph"/>
              <w:spacing w:line="360" w:lineRule="auto"/>
              <w:ind w:left="72" w:right="61"/>
              <w:jc w:val="both"/>
              <w:rPr>
                <w:b/>
                <w:sz w:val="20"/>
                <w:szCs w:val="20"/>
              </w:rPr>
            </w:pPr>
            <w:r w:rsidRPr="00C3144A">
              <w:rPr>
                <w:b/>
                <w:sz w:val="20"/>
                <w:szCs w:val="20"/>
              </w:rPr>
              <w:t>0,6</w:t>
            </w:r>
          </w:p>
        </w:tc>
        <w:tc>
          <w:tcPr>
            <w:tcW w:w="1388" w:type="dxa"/>
          </w:tcPr>
          <w:p w14:paraId="7C40AD51" w14:textId="77777777" w:rsidR="00940546" w:rsidRPr="00C3144A" w:rsidRDefault="00940546" w:rsidP="00C3144A">
            <w:pPr>
              <w:pStyle w:val="TableParagraph"/>
              <w:spacing w:before="0" w:line="360" w:lineRule="auto"/>
              <w:ind w:left="0"/>
              <w:jc w:val="both"/>
              <w:rPr>
                <w:sz w:val="20"/>
                <w:szCs w:val="20"/>
              </w:rPr>
            </w:pPr>
          </w:p>
        </w:tc>
      </w:tr>
      <w:tr w:rsidR="00940546" w:rsidRPr="00C3144A" w14:paraId="002D7800" w14:textId="77777777" w:rsidTr="00750DB7">
        <w:trPr>
          <w:trHeight w:val="322"/>
        </w:trPr>
        <w:tc>
          <w:tcPr>
            <w:tcW w:w="2405" w:type="dxa"/>
          </w:tcPr>
          <w:p w14:paraId="0C814646" w14:textId="77777777" w:rsidR="00940546" w:rsidRPr="00C3144A" w:rsidRDefault="00940546" w:rsidP="00C3144A">
            <w:pPr>
              <w:pStyle w:val="TableParagraph"/>
              <w:spacing w:before="16" w:line="360" w:lineRule="auto"/>
              <w:jc w:val="both"/>
              <w:rPr>
                <w:sz w:val="20"/>
                <w:szCs w:val="20"/>
              </w:rPr>
            </w:pPr>
            <w:r w:rsidRPr="00C3144A">
              <w:rPr>
                <w:sz w:val="20"/>
                <w:szCs w:val="20"/>
              </w:rPr>
              <w:t>B. Elbow-Wrist</w:t>
            </w:r>
          </w:p>
        </w:tc>
        <w:tc>
          <w:tcPr>
            <w:tcW w:w="1011" w:type="dxa"/>
          </w:tcPr>
          <w:p w14:paraId="5671B3CF" w14:textId="77777777" w:rsidR="00940546" w:rsidRPr="00C3144A" w:rsidRDefault="00940546" w:rsidP="00C3144A">
            <w:pPr>
              <w:pStyle w:val="TableParagraph"/>
              <w:spacing w:line="360" w:lineRule="auto"/>
              <w:ind w:left="24"/>
              <w:jc w:val="both"/>
              <w:rPr>
                <w:sz w:val="20"/>
                <w:szCs w:val="20"/>
              </w:rPr>
            </w:pPr>
            <w:r w:rsidRPr="00C3144A">
              <w:rPr>
                <w:sz w:val="20"/>
                <w:szCs w:val="20"/>
              </w:rPr>
              <w:t>14,0</w:t>
            </w:r>
          </w:p>
        </w:tc>
        <w:tc>
          <w:tcPr>
            <w:tcW w:w="1100" w:type="dxa"/>
          </w:tcPr>
          <w:p w14:paraId="630BF7DF" w14:textId="77777777" w:rsidR="00940546" w:rsidRPr="00C3144A" w:rsidRDefault="00940546" w:rsidP="00C3144A">
            <w:pPr>
              <w:pStyle w:val="TableParagraph"/>
              <w:spacing w:line="360" w:lineRule="auto"/>
              <w:ind w:left="0" w:right="372"/>
              <w:jc w:val="both"/>
              <w:rPr>
                <w:sz w:val="20"/>
                <w:szCs w:val="20"/>
              </w:rPr>
            </w:pPr>
            <w:r w:rsidRPr="00C3144A">
              <w:rPr>
                <w:w w:val="95"/>
                <w:sz w:val="20"/>
                <w:szCs w:val="20"/>
              </w:rPr>
              <w:t>190</w:t>
            </w:r>
          </w:p>
        </w:tc>
        <w:tc>
          <w:tcPr>
            <w:tcW w:w="1585" w:type="dxa"/>
          </w:tcPr>
          <w:p w14:paraId="5D310086" w14:textId="77777777" w:rsidR="00940546" w:rsidRPr="00C3144A" w:rsidRDefault="00940546" w:rsidP="00C3144A">
            <w:pPr>
              <w:pStyle w:val="TableParagraph"/>
              <w:spacing w:line="360" w:lineRule="auto"/>
              <w:ind w:left="564" w:right="546"/>
              <w:jc w:val="both"/>
              <w:rPr>
                <w:b/>
                <w:sz w:val="20"/>
                <w:szCs w:val="20"/>
              </w:rPr>
            </w:pPr>
            <w:r w:rsidRPr="00C3144A">
              <w:rPr>
                <w:b/>
                <w:sz w:val="20"/>
                <w:szCs w:val="20"/>
              </w:rPr>
              <w:t>35,2</w:t>
            </w:r>
          </w:p>
        </w:tc>
        <w:tc>
          <w:tcPr>
            <w:tcW w:w="1511" w:type="dxa"/>
          </w:tcPr>
          <w:p w14:paraId="3BEDFEB4" w14:textId="77777777" w:rsidR="00940546" w:rsidRPr="00C3144A" w:rsidRDefault="00940546" w:rsidP="00C3144A">
            <w:pPr>
              <w:pStyle w:val="TableParagraph"/>
              <w:spacing w:line="360" w:lineRule="auto"/>
              <w:ind w:left="375" w:right="359"/>
              <w:jc w:val="both"/>
              <w:rPr>
                <w:sz w:val="20"/>
                <w:szCs w:val="20"/>
              </w:rPr>
            </w:pPr>
            <w:r w:rsidRPr="00C3144A">
              <w:rPr>
                <w:sz w:val="20"/>
                <w:szCs w:val="20"/>
              </w:rPr>
              <w:t>6,2</w:t>
            </w:r>
          </w:p>
        </w:tc>
        <w:tc>
          <w:tcPr>
            <w:tcW w:w="978" w:type="dxa"/>
          </w:tcPr>
          <w:p w14:paraId="34511A0E" w14:textId="77777777" w:rsidR="00940546" w:rsidRPr="00C3144A" w:rsidRDefault="00940546" w:rsidP="00C3144A">
            <w:pPr>
              <w:pStyle w:val="TableParagraph"/>
              <w:spacing w:line="360" w:lineRule="auto"/>
              <w:ind w:left="72" w:right="61"/>
              <w:jc w:val="both"/>
              <w:rPr>
                <w:b/>
                <w:sz w:val="20"/>
                <w:szCs w:val="20"/>
              </w:rPr>
            </w:pPr>
            <w:r w:rsidRPr="00C3144A">
              <w:rPr>
                <w:b/>
                <w:sz w:val="20"/>
                <w:szCs w:val="20"/>
              </w:rPr>
              <w:t>0,4</w:t>
            </w:r>
          </w:p>
        </w:tc>
        <w:tc>
          <w:tcPr>
            <w:tcW w:w="1388" w:type="dxa"/>
          </w:tcPr>
          <w:p w14:paraId="26615CAF" w14:textId="77777777" w:rsidR="00940546" w:rsidRPr="00C3144A" w:rsidRDefault="00940546" w:rsidP="00C3144A">
            <w:pPr>
              <w:pStyle w:val="TableParagraph"/>
              <w:spacing w:line="360" w:lineRule="auto"/>
              <w:ind w:left="107" w:right="96"/>
              <w:jc w:val="both"/>
              <w:rPr>
                <w:sz w:val="20"/>
                <w:szCs w:val="20"/>
              </w:rPr>
            </w:pPr>
            <w:r w:rsidRPr="00C3144A">
              <w:rPr>
                <w:sz w:val="20"/>
                <w:szCs w:val="20"/>
              </w:rPr>
              <w:t>-44,2</w:t>
            </w:r>
          </w:p>
        </w:tc>
      </w:tr>
      <w:tr w:rsidR="00940546" w:rsidRPr="00C3144A" w14:paraId="70C8A623" w14:textId="77777777" w:rsidTr="00750DB7">
        <w:trPr>
          <w:trHeight w:val="320"/>
        </w:trPr>
        <w:tc>
          <w:tcPr>
            <w:tcW w:w="2405" w:type="dxa"/>
          </w:tcPr>
          <w:p w14:paraId="6B6143FB" w14:textId="77777777" w:rsidR="00940546" w:rsidRPr="00C3144A" w:rsidRDefault="00940546" w:rsidP="00C3144A">
            <w:pPr>
              <w:pStyle w:val="TableParagraph"/>
              <w:spacing w:before="16" w:line="360" w:lineRule="auto"/>
              <w:jc w:val="both"/>
              <w:rPr>
                <w:sz w:val="20"/>
                <w:szCs w:val="20"/>
              </w:rPr>
            </w:pPr>
            <w:r w:rsidRPr="00C3144A">
              <w:rPr>
                <w:sz w:val="20"/>
                <w:szCs w:val="20"/>
              </w:rPr>
              <w:t>A. Elbow-B. Elbow</w:t>
            </w:r>
          </w:p>
        </w:tc>
        <w:tc>
          <w:tcPr>
            <w:tcW w:w="1011" w:type="dxa"/>
          </w:tcPr>
          <w:p w14:paraId="0D79E5EE" w14:textId="77777777" w:rsidR="00940546" w:rsidRPr="00C3144A" w:rsidRDefault="00940546" w:rsidP="00C3144A">
            <w:pPr>
              <w:pStyle w:val="TableParagraph"/>
              <w:spacing w:line="360" w:lineRule="auto"/>
              <w:ind w:left="24"/>
              <w:jc w:val="both"/>
              <w:rPr>
                <w:sz w:val="20"/>
                <w:szCs w:val="20"/>
              </w:rPr>
            </w:pPr>
            <w:r w:rsidRPr="00C3144A">
              <w:rPr>
                <w:sz w:val="20"/>
                <w:szCs w:val="20"/>
              </w:rPr>
              <w:t>19,0</w:t>
            </w:r>
          </w:p>
        </w:tc>
        <w:tc>
          <w:tcPr>
            <w:tcW w:w="1100" w:type="dxa"/>
          </w:tcPr>
          <w:p w14:paraId="187692FC" w14:textId="77777777" w:rsidR="00940546" w:rsidRPr="00C3144A" w:rsidRDefault="00940546" w:rsidP="00C3144A">
            <w:pPr>
              <w:pStyle w:val="TableParagraph"/>
              <w:spacing w:line="360" w:lineRule="auto"/>
              <w:ind w:left="0" w:right="376"/>
              <w:jc w:val="both"/>
              <w:rPr>
                <w:sz w:val="20"/>
                <w:szCs w:val="20"/>
              </w:rPr>
            </w:pPr>
            <w:r w:rsidRPr="00C3144A">
              <w:rPr>
                <w:w w:val="95"/>
                <w:sz w:val="20"/>
                <w:szCs w:val="20"/>
              </w:rPr>
              <w:t>110</w:t>
            </w:r>
          </w:p>
        </w:tc>
        <w:tc>
          <w:tcPr>
            <w:tcW w:w="1585" w:type="dxa"/>
          </w:tcPr>
          <w:p w14:paraId="17F197E1" w14:textId="77777777" w:rsidR="00940546" w:rsidRPr="00C3144A" w:rsidRDefault="00940546" w:rsidP="00C3144A">
            <w:pPr>
              <w:pStyle w:val="TableParagraph"/>
              <w:spacing w:line="360" w:lineRule="auto"/>
              <w:ind w:left="565" w:right="546"/>
              <w:jc w:val="both"/>
              <w:rPr>
                <w:b/>
                <w:sz w:val="20"/>
                <w:szCs w:val="20"/>
              </w:rPr>
            </w:pPr>
            <w:r w:rsidRPr="00C3144A">
              <w:rPr>
                <w:b/>
                <w:sz w:val="20"/>
                <w:szCs w:val="20"/>
              </w:rPr>
              <w:t>21,8</w:t>
            </w:r>
          </w:p>
        </w:tc>
        <w:tc>
          <w:tcPr>
            <w:tcW w:w="1511" w:type="dxa"/>
          </w:tcPr>
          <w:p w14:paraId="2A5C4D69" w14:textId="77777777" w:rsidR="00940546" w:rsidRPr="00C3144A" w:rsidRDefault="00940546" w:rsidP="00C3144A">
            <w:pPr>
              <w:pStyle w:val="TableParagraph"/>
              <w:spacing w:line="360" w:lineRule="auto"/>
              <w:ind w:left="375" w:right="359"/>
              <w:jc w:val="both"/>
              <w:rPr>
                <w:sz w:val="20"/>
                <w:szCs w:val="20"/>
              </w:rPr>
            </w:pPr>
            <w:r w:rsidRPr="00C3144A">
              <w:rPr>
                <w:sz w:val="20"/>
                <w:szCs w:val="20"/>
              </w:rPr>
              <w:t>2,2</w:t>
            </w:r>
          </w:p>
        </w:tc>
        <w:tc>
          <w:tcPr>
            <w:tcW w:w="978" w:type="dxa"/>
          </w:tcPr>
          <w:p w14:paraId="3212713D" w14:textId="77777777" w:rsidR="00940546" w:rsidRPr="00C3144A" w:rsidRDefault="00940546" w:rsidP="00C3144A">
            <w:pPr>
              <w:pStyle w:val="TableParagraph"/>
              <w:spacing w:line="360" w:lineRule="auto"/>
              <w:ind w:left="72" w:right="61"/>
              <w:jc w:val="both"/>
              <w:rPr>
                <w:b/>
                <w:sz w:val="20"/>
                <w:szCs w:val="20"/>
              </w:rPr>
            </w:pPr>
            <w:r w:rsidRPr="00C3144A">
              <w:rPr>
                <w:b/>
                <w:sz w:val="20"/>
                <w:szCs w:val="20"/>
              </w:rPr>
              <w:t>0,3</w:t>
            </w:r>
          </w:p>
        </w:tc>
        <w:tc>
          <w:tcPr>
            <w:tcW w:w="1388" w:type="dxa"/>
          </w:tcPr>
          <w:p w14:paraId="088EFE91" w14:textId="77777777" w:rsidR="00940546" w:rsidRPr="00C3144A" w:rsidRDefault="00940546" w:rsidP="00C3144A">
            <w:pPr>
              <w:pStyle w:val="TableParagraph"/>
              <w:spacing w:line="360" w:lineRule="auto"/>
              <w:ind w:left="106" w:right="99"/>
              <w:jc w:val="both"/>
              <w:rPr>
                <w:sz w:val="20"/>
                <w:szCs w:val="20"/>
              </w:rPr>
            </w:pPr>
            <w:r w:rsidRPr="00C3144A">
              <w:rPr>
                <w:sz w:val="20"/>
                <w:szCs w:val="20"/>
              </w:rPr>
              <w:t>-11,5</w:t>
            </w:r>
          </w:p>
        </w:tc>
      </w:tr>
      <w:tr w:rsidR="00940546" w:rsidRPr="00C3144A" w14:paraId="3E0CDCEA" w14:textId="77777777" w:rsidTr="00750DB7">
        <w:trPr>
          <w:trHeight w:val="322"/>
        </w:trPr>
        <w:tc>
          <w:tcPr>
            <w:tcW w:w="2405" w:type="dxa"/>
          </w:tcPr>
          <w:p w14:paraId="5C9A8606" w14:textId="77777777" w:rsidR="00940546" w:rsidRPr="00C3144A" w:rsidRDefault="00940546" w:rsidP="00C3144A">
            <w:pPr>
              <w:pStyle w:val="TableParagraph"/>
              <w:spacing w:before="19" w:line="360" w:lineRule="auto"/>
              <w:jc w:val="both"/>
              <w:rPr>
                <w:sz w:val="20"/>
                <w:szCs w:val="20"/>
              </w:rPr>
            </w:pPr>
            <w:proofErr w:type="spellStart"/>
            <w:r w:rsidRPr="00C3144A">
              <w:rPr>
                <w:sz w:val="20"/>
                <w:szCs w:val="20"/>
              </w:rPr>
              <w:t>Erb</w:t>
            </w:r>
            <w:proofErr w:type="spellEnd"/>
            <w:r w:rsidRPr="00C3144A">
              <w:rPr>
                <w:sz w:val="20"/>
                <w:szCs w:val="20"/>
              </w:rPr>
              <w:t>-A. Elbow</w:t>
            </w:r>
          </w:p>
        </w:tc>
        <w:tc>
          <w:tcPr>
            <w:tcW w:w="1011" w:type="dxa"/>
          </w:tcPr>
          <w:p w14:paraId="2F147104" w14:textId="77777777" w:rsidR="00940546" w:rsidRPr="00C3144A" w:rsidRDefault="00940546" w:rsidP="00C3144A">
            <w:pPr>
              <w:pStyle w:val="TableParagraph"/>
              <w:spacing w:line="360" w:lineRule="auto"/>
              <w:ind w:left="24"/>
              <w:jc w:val="both"/>
              <w:rPr>
                <w:sz w:val="20"/>
                <w:szCs w:val="20"/>
              </w:rPr>
            </w:pPr>
            <w:r w:rsidRPr="00C3144A">
              <w:rPr>
                <w:sz w:val="20"/>
                <w:szCs w:val="20"/>
              </w:rPr>
              <w:t>23,9</w:t>
            </w:r>
          </w:p>
        </w:tc>
        <w:tc>
          <w:tcPr>
            <w:tcW w:w="1100" w:type="dxa"/>
          </w:tcPr>
          <w:p w14:paraId="3E408251" w14:textId="77777777" w:rsidR="00940546" w:rsidRPr="00C3144A" w:rsidRDefault="00940546" w:rsidP="00C3144A">
            <w:pPr>
              <w:pStyle w:val="TableParagraph"/>
              <w:spacing w:line="360" w:lineRule="auto"/>
              <w:ind w:left="0" w:right="371"/>
              <w:jc w:val="both"/>
              <w:rPr>
                <w:sz w:val="20"/>
                <w:szCs w:val="20"/>
              </w:rPr>
            </w:pPr>
            <w:r w:rsidRPr="00C3144A">
              <w:rPr>
                <w:w w:val="95"/>
                <w:sz w:val="20"/>
                <w:szCs w:val="20"/>
              </w:rPr>
              <w:t>150</w:t>
            </w:r>
          </w:p>
        </w:tc>
        <w:tc>
          <w:tcPr>
            <w:tcW w:w="1585" w:type="dxa"/>
          </w:tcPr>
          <w:p w14:paraId="4BD42B6D" w14:textId="77777777" w:rsidR="00940546" w:rsidRPr="00C3144A" w:rsidRDefault="00940546" w:rsidP="00C3144A">
            <w:pPr>
              <w:pStyle w:val="TableParagraph"/>
              <w:spacing w:line="360" w:lineRule="auto"/>
              <w:ind w:left="565" w:right="546"/>
              <w:jc w:val="both"/>
              <w:rPr>
                <w:b/>
                <w:sz w:val="20"/>
                <w:szCs w:val="20"/>
              </w:rPr>
            </w:pPr>
            <w:r w:rsidRPr="00C3144A">
              <w:rPr>
                <w:b/>
                <w:sz w:val="20"/>
                <w:szCs w:val="20"/>
              </w:rPr>
              <w:t>30,9</w:t>
            </w:r>
          </w:p>
        </w:tc>
        <w:tc>
          <w:tcPr>
            <w:tcW w:w="1511" w:type="dxa"/>
          </w:tcPr>
          <w:p w14:paraId="2592D1CF" w14:textId="77777777" w:rsidR="00940546" w:rsidRPr="00C3144A" w:rsidRDefault="00940546" w:rsidP="00C3144A">
            <w:pPr>
              <w:pStyle w:val="TableParagraph"/>
              <w:spacing w:line="360" w:lineRule="auto"/>
              <w:ind w:left="375" w:right="359"/>
              <w:jc w:val="both"/>
              <w:rPr>
                <w:sz w:val="20"/>
                <w:szCs w:val="20"/>
              </w:rPr>
            </w:pPr>
            <w:r w:rsidRPr="00C3144A">
              <w:rPr>
                <w:sz w:val="20"/>
                <w:szCs w:val="20"/>
              </w:rPr>
              <w:t>0,9</w:t>
            </w:r>
          </w:p>
        </w:tc>
        <w:tc>
          <w:tcPr>
            <w:tcW w:w="978" w:type="dxa"/>
          </w:tcPr>
          <w:p w14:paraId="0C87CA8B" w14:textId="77777777" w:rsidR="00940546" w:rsidRPr="00C3144A" w:rsidRDefault="00940546" w:rsidP="00C3144A">
            <w:pPr>
              <w:pStyle w:val="TableParagraph"/>
              <w:spacing w:line="360" w:lineRule="auto"/>
              <w:ind w:left="72" w:right="61"/>
              <w:jc w:val="both"/>
              <w:rPr>
                <w:b/>
                <w:sz w:val="20"/>
                <w:szCs w:val="20"/>
              </w:rPr>
            </w:pPr>
            <w:r w:rsidRPr="00C3144A">
              <w:rPr>
                <w:b/>
                <w:sz w:val="20"/>
                <w:szCs w:val="20"/>
              </w:rPr>
              <w:t>0,1</w:t>
            </w:r>
          </w:p>
        </w:tc>
        <w:tc>
          <w:tcPr>
            <w:tcW w:w="1388" w:type="dxa"/>
          </w:tcPr>
          <w:p w14:paraId="5071EFE4" w14:textId="77777777" w:rsidR="00940546" w:rsidRPr="00C3144A" w:rsidRDefault="00940546" w:rsidP="00C3144A">
            <w:pPr>
              <w:pStyle w:val="TableParagraph"/>
              <w:spacing w:line="360" w:lineRule="auto"/>
              <w:ind w:left="107" w:right="95"/>
              <w:jc w:val="both"/>
              <w:rPr>
                <w:sz w:val="20"/>
                <w:szCs w:val="20"/>
              </w:rPr>
            </w:pPr>
            <w:r w:rsidRPr="00C3144A">
              <w:rPr>
                <w:sz w:val="20"/>
                <w:szCs w:val="20"/>
              </w:rPr>
              <w:t>-96,9</w:t>
            </w:r>
          </w:p>
        </w:tc>
      </w:tr>
      <w:tr w:rsidR="00940546" w:rsidRPr="00C3144A" w14:paraId="6FF9157B" w14:textId="77777777" w:rsidTr="00750DB7">
        <w:trPr>
          <w:trHeight w:val="277"/>
        </w:trPr>
        <w:tc>
          <w:tcPr>
            <w:tcW w:w="9978" w:type="dxa"/>
            <w:gridSpan w:val="7"/>
          </w:tcPr>
          <w:p w14:paraId="0E83C3BE" w14:textId="77777777" w:rsidR="00940546" w:rsidRPr="00C3144A" w:rsidRDefault="00940546" w:rsidP="00C3144A">
            <w:pPr>
              <w:pStyle w:val="TableParagraph"/>
              <w:spacing w:before="18" w:line="360" w:lineRule="auto"/>
              <w:jc w:val="both"/>
              <w:rPr>
                <w:b/>
                <w:sz w:val="20"/>
                <w:szCs w:val="20"/>
              </w:rPr>
            </w:pPr>
            <w:r w:rsidRPr="00C3144A">
              <w:rPr>
                <w:b/>
                <w:sz w:val="20"/>
                <w:szCs w:val="20"/>
              </w:rPr>
              <w:t>Ulnaris Adm (Left)</w:t>
            </w:r>
          </w:p>
        </w:tc>
      </w:tr>
      <w:tr w:rsidR="00940546" w:rsidRPr="00C3144A" w14:paraId="795AE7B5" w14:textId="77777777" w:rsidTr="00750DB7">
        <w:trPr>
          <w:trHeight w:val="322"/>
        </w:trPr>
        <w:tc>
          <w:tcPr>
            <w:tcW w:w="2405" w:type="dxa"/>
          </w:tcPr>
          <w:p w14:paraId="41B9F822" w14:textId="77777777" w:rsidR="00940546" w:rsidRPr="00C3144A" w:rsidRDefault="00940546" w:rsidP="00C3144A">
            <w:pPr>
              <w:pStyle w:val="TableParagraph"/>
              <w:spacing w:before="16" w:line="360" w:lineRule="auto"/>
              <w:jc w:val="both"/>
              <w:rPr>
                <w:sz w:val="20"/>
                <w:szCs w:val="20"/>
              </w:rPr>
            </w:pPr>
            <w:r w:rsidRPr="00C3144A">
              <w:rPr>
                <w:sz w:val="20"/>
                <w:szCs w:val="20"/>
              </w:rPr>
              <w:t>Wrist-ADM</w:t>
            </w:r>
          </w:p>
        </w:tc>
        <w:tc>
          <w:tcPr>
            <w:tcW w:w="1011" w:type="dxa"/>
          </w:tcPr>
          <w:p w14:paraId="16711249" w14:textId="77777777" w:rsidR="00940546" w:rsidRPr="00C3144A" w:rsidRDefault="00940546" w:rsidP="00C3144A">
            <w:pPr>
              <w:pStyle w:val="TableParagraph"/>
              <w:spacing w:line="360" w:lineRule="auto"/>
              <w:ind w:left="24"/>
              <w:jc w:val="both"/>
              <w:rPr>
                <w:b/>
                <w:sz w:val="20"/>
                <w:szCs w:val="20"/>
              </w:rPr>
            </w:pPr>
            <w:r w:rsidRPr="00C3144A">
              <w:rPr>
                <w:b/>
                <w:sz w:val="20"/>
                <w:szCs w:val="20"/>
              </w:rPr>
              <w:t>10,1</w:t>
            </w:r>
          </w:p>
        </w:tc>
        <w:tc>
          <w:tcPr>
            <w:tcW w:w="1100" w:type="dxa"/>
          </w:tcPr>
          <w:p w14:paraId="0AD73D82" w14:textId="77777777" w:rsidR="00940546" w:rsidRPr="00C3144A" w:rsidRDefault="00940546" w:rsidP="00C3144A">
            <w:pPr>
              <w:pStyle w:val="TableParagraph"/>
              <w:spacing w:line="360" w:lineRule="auto"/>
              <w:ind w:left="0" w:right="419"/>
              <w:jc w:val="both"/>
              <w:rPr>
                <w:sz w:val="20"/>
                <w:szCs w:val="20"/>
              </w:rPr>
            </w:pPr>
            <w:r w:rsidRPr="00C3144A">
              <w:rPr>
                <w:w w:val="95"/>
                <w:sz w:val="20"/>
                <w:szCs w:val="20"/>
              </w:rPr>
              <w:t>60</w:t>
            </w:r>
          </w:p>
        </w:tc>
        <w:tc>
          <w:tcPr>
            <w:tcW w:w="1585" w:type="dxa"/>
          </w:tcPr>
          <w:p w14:paraId="7E5F6689" w14:textId="77777777" w:rsidR="00940546" w:rsidRPr="00C3144A" w:rsidRDefault="00940546" w:rsidP="00C3144A">
            <w:pPr>
              <w:pStyle w:val="TableParagraph"/>
              <w:spacing w:before="0" w:line="360" w:lineRule="auto"/>
              <w:ind w:left="0"/>
              <w:jc w:val="both"/>
              <w:rPr>
                <w:sz w:val="20"/>
                <w:szCs w:val="20"/>
              </w:rPr>
            </w:pPr>
          </w:p>
        </w:tc>
        <w:tc>
          <w:tcPr>
            <w:tcW w:w="1511" w:type="dxa"/>
          </w:tcPr>
          <w:p w14:paraId="2CED8C75" w14:textId="77777777" w:rsidR="00940546" w:rsidRPr="00C3144A" w:rsidRDefault="00940546" w:rsidP="00C3144A">
            <w:pPr>
              <w:pStyle w:val="TableParagraph"/>
              <w:spacing w:line="360" w:lineRule="auto"/>
              <w:ind w:left="371" w:right="359"/>
              <w:jc w:val="both"/>
              <w:rPr>
                <w:sz w:val="20"/>
                <w:szCs w:val="20"/>
              </w:rPr>
            </w:pPr>
            <w:r w:rsidRPr="00C3144A">
              <w:rPr>
                <w:sz w:val="20"/>
                <w:szCs w:val="20"/>
              </w:rPr>
              <w:t>12,0</w:t>
            </w:r>
          </w:p>
        </w:tc>
        <w:tc>
          <w:tcPr>
            <w:tcW w:w="978" w:type="dxa"/>
          </w:tcPr>
          <w:p w14:paraId="3032338E" w14:textId="77777777" w:rsidR="00940546" w:rsidRPr="00C3144A" w:rsidRDefault="00940546" w:rsidP="00C3144A">
            <w:pPr>
              <w:pStyle w:val="TableParagraph"/>
              <w:spacing w:line="360" w:lineRule="auto"/>
              <w:ind w:left="72" w:right="61"/>
              <w:jc w:val="both"/>
              <w:rPr>
                <w:b/>
                <w:sz w:val="20"/>
                <w:szCs w:val="20"/>
              </w:rPr>
            </w:pPr>
            <w:r w:rsidRPr="00C3144A">
              <w:rPr>
                <w:b/>
                <w:sz w:val="20"/>
                <w:szCs w:val="20"/>
              </w:rPr>
              <w:t>1,4</w:t>
            </w:r>
          </w:p>
        </w:tc>
        <w:tc>
          <w:tcPr>
            <w:tcW w:w="1388" w:type="dxa"/>
          </w:tcPr>
          <w:p w14:paraId="10F09A44" w14:textId="77777777" w:rsidR="00940546" w:rsidRPr="00C3144A" w:rsidRDefault="00940546" w:rsidP="00C3144A">
            <w:pPr>
              <w:pStyle w:val="TableParagraph"/>
              <w:spacing w:before="0" w:line="360" w:lineRule="auto"/>
              <w:ind w:left="0"/>
              <w:jc w:val="both"/>
              <w:rPr>
                <w:sz w:val="20"/>
                <w:szCs w:val="20"/>
              </w:rPr>
            </w:pPr>
          </w:p>
        </w:tc>
      </w:tr>
      <w:tr w:rsidR="00940546" w:rsidRPr="00C3144A" w14:paraId="31CA540C" w14:textId="77777777" w:rsidTr="00750DB7">
        <w:trPr>
          <w:trHeight w:val="320"/>
        </w:trPr>
        <w:tc>
          <w:tcPr>
            <w:tcW w:w="2405" w:type="dxa"/>
          </w:tcPr>
          <w:p w14:paraId="2F78161F" w14:textId="77777777" w:rsidR="00940546" w:rsidRPr="00C3144A" w:rsidRDefault="00940546" w:rsidP="00C3144A">
            <w:pPr>
              <w:pStyle w:val="TableParagraph"/>
              <w:spacing w:before="16" w:line="360" w:lineRule="auto"/>
              <w:ind w:left="24"/>
              <w:jc w:val="both"/>
              <w:rPr>
                <w:sz w:val="20"/>
                <w:szCs w:val="20"/>
              </w:rPr>
            </w:pPr>
            <w:r w:rsidRPr="00C3144A">
              <w:rPr>
                <w:sz w:val="20"/>
                <w:szCs w:val="20"/>
              </w:rPr>
              <w:lastRenderedPageBreak/>
              <w:t>B. Elbow-Wrist</w:t>
            </w:r>
          </w:p>
        </w:tc>
        <w:tc>
          <w:tcPr>
            <w:tcW w:w="1011" w:type="dxa"/>
          </w:tcPr>
          <w:p w14:paraId="2CF57768" w14:textId="77777777" w:rsidR="00940546" w:rsidRPr="00C3144A" w:rsidRDefault="00940546" w:rsidP="00C3144A">
            <w:pPr>
              <w:pStyle w:val="TableParagraph"/>
              <w:spacing w:line="360" w:lineRule="auto"/>
              <w:ind w:left="25"/>
              <w:jc w:val="both"/>
              <w:rPr>
                <w:sz w:val="20"/>
                <w:szCs w:val="20"/>
              </w:rPr>
            </w:pPr>
            <w:r w:rsidRPr="00C3144A">
              <w:rPr>
                <w:sz w:val="20"/>
                <w:szCs w:val="20"/>
              </w:rPr>
              <w:t>15,4</w:t>
            </w:r>
          </w:p>
        </w:tc>
        <w:tc>
          <w:tcPr>
            <w:tcW w:w="1100" w:type="dxa"/>
          </w:tcPr>
          <w:p w14:paraId="5FF2A9F2" w14:textId="77777777" w:rsidR="00940546" w:rsidRPr="00C3144A" w:rsidRDefault="00940546" w:rsidP="00C3144A">
            <w:pPr>
              <w:pStyle w:val="TableParagraph"/>
              <w:spacing w:line="360" w:lineRule="auto"/>
              <w:ind w:left="0" w:right="371"/>
              <w:jc w:val="both"/>
              <w:rPr>
                <w:sz w:val="20"/>
                <w:szCs w:val="20"/>
              </w:rPr>
            </w:pPr>
            <w:r w:rsidRPr="00C3144A">
              <w:rPr>
                <w:w w:val="95"/>
                <w:sz w:val="20"/>
                <w:szCs w:val="20"/>
              </w:rPr>
              <w:t>180</w:t>
            </w:r>
          </w:p>
        </w:tc>
        <w:tc>
          <w:tcPr>
            <w:tcW w:w="1585" w:type="dxa"/>
          </w:tcPr>
          <w:p w14:paraId="7B6E8898" w14:textId="77777777" w:rsidR="00940546" w:rsidRPr="00C3144A" w:rsidRDefault="00940546" w:rsidP="00C3144A">
            <w:pPr>
              <w:pStyle w:val="TableParagraph"/>
              <w:spacing w:line="360" w:lineRule="auto"/>
              <w:ind w:left="565" w:right="546"/>
              <w:jc w:val="both"/>
              <w:rPr>
                <w:b/>
                <w:sz w:val="20"/>
                <w:szCs w:val="20"/>
              </w:rPr>
            </w:pPr>
            <w:r w:rsidRPr="00C3144A">
              <w:rPr>
                <w:b/>
                <w:sz w:val="20"/>
                <w:szCs w:val="20"/>
              </w:rPr>
              <w:t>33,9</w:t>
            </w:r>
          </w:p>
        </w:tc>
        <w:tc>
          <w:tcPr>
            <w:tcW w:w="1511" w:type="dxa"/>
          </w:tcPr>
          <w:p w14:paraId="5A7B2DB2" w14:textId="77777777" w:rsidR="00940546" w:rsidRPr="00C3144A" w:rsidRDefault="00940546" w:rsidP="00C3144A">
            <w:pPr>
              <w:pStyle w:val="TableParagraph"/>
              <w:spacing w:line="360" w:lineRule="auto"/>
              <w:ind w:left="375" w:right="358"/>
              <w:jc w:val="both"/>
              <w:rPr>
                <w:sz w:val="20"/>
                <w:szCs w:val="20"/>
              </w:rPr>
            </w:pPr>
            <w:r w:rsidRPr="00C3144A">
              <w:rPr>
                <w:sz w:val="20"/>
                <w:szCs w:val="20"/>
              </w:rPr>
              <w:t>5,2</w:t>
            </w:r>
          </w:p>
        </w:tc>
        <w:tc>
          <w:tcPr>
            <w:tcW w:w="978" w:type="dxa"/>
          </w:tcPr>
          <w:p w14:paraId="4294F6E2" w14:textId="77777777" w:rsidR="00940546" w:rsidRPr="00C3144A" w:rsidRDefault="00940546" w:rsidP="00C3144A">
            <w:pPr>
              <w:pStyle w:val="TableParagraph"/>
              <w:spacing w:line="360" w:lineRule="auto"/>
              <w:ind w:left="72" w:right="60"/>
              <w:jc w:val="both"/>
              <w:rPr>
                <w:b/>
                <w:sz w:val="20"/>
                <w:szCs w:val="20"/>
              </w:rPr>
            </w:pPr>
            <w:r w:rsidRPr="00C3144A">
              <w:rPr>
                <w:b/>
                <w:sz w:val="20"/>
                <w:szCs w:val="20"/>
              </w:rPr>
              <w:t>0,8</w:t>
            </w:r>
          </w:p>
        </w:tc>
        <w:tc>
          <w:tcPr>
            <w:tcW w:w="1388" w:type="dxa"/>
          </w:tcPr>
          <w:p w14:paraId="67D0012F" w14:textId="77777777" w:rsidR="00940546" w:rsidRPr="00C3144A" w:rsidRDefault="00940546" w:rsidP="00C3144A">
            <w:pPr>
              <w:pStyle w:val="TableParagraph"/>
              <w:spacing w:line="360" w:lineRule="auto"/>
              <w:ind w:left="107" w:right="95"/>
              <w:jc w:val="both"/>
              <w:rPr>
                <w:sz w:val="20"/>
                <w:szCs w:val="20"/>
              </w:rPr>
            </w:pPr>
            <w:r w:rsidRPr="00C3144A">
              <w:rPr>
                <w:sz w:val="20"/>
                <w:szCs w:val="20"/>
              </w:rPr>
              <w:t>-44,5</w:t>
            </w:r>
          </w:p>
        </w:tc>
      </w:tr>
      <w:tr w:rsidR="00940546" w:rsidRPr="00C3144A" w14:paraId="2E06E3D0" w14:textId="77777777" w:rsidTr="00750DB7">
        <w:trPr>
          <w:trHeight w:val="322"/>
        </w:trPr>
        <w:tc>
          <w:tcPr>
            <w:tcW w:w="2405" w:type="dxa"/>
          </w:tcPr>
          <w:p w14:paraId="3A072062" w14:textId="77777777" w:rsidR="00940546" w:rsidRPr="00C3144A" w:rsidRDefault="00940546" w:rsidP="00C3144A">
            <w:pPr>
              <w:pStyle w:val="TableParagraph"/>
              <w:spacing w:before="19" w:line="360" w:lineRule="auto"/>
              <w:ind w:left="24"/>
              <w:jc w:val="both"/>
              <w:rPr>
                <w:sz w:val="20"/>
                <w:szCs w:val="20"/>
              </w:rPr>
            </w:pPr>
            <w:r w:rsidRPr="00C3144A">
              <w:rPr>
                <w:sz w:val="20"/>
                <w:szCs w:val="20"/>
              </w:rPr>
              <w:t>A. Elbow-B. Elbow</w:t>
            </w:r>
          </w:p>
        </w:tc>
        <w:tc>
          <w:tcPr>
            <w:tcW w:w="1011" w:type="dxa"/>
          </w:tcPr>
          <w:p w14:paraId="3E722924" w14:textId="77777777" w:rsidR="00940546" w:rsidRPr="00C3144A" w:rsidRDefault="00940546" w:rsidP="00C3144A">
            <w:pPr>
              <w:pStyle w:val="TableParagraph"/>
              <w:spacing w:line="360" w:lineRule="auto"/>
              <w:ind w:left="25"/>
              <w:jc w:val="both"/>
              <w:rPr>
                <w:sz w:val="20"/>
                <w:szCs w:val="20"/>
              </w:rPr>
            </w:pPr>
            <w:r w:rsidRPr="00C3144A">
              <w:rPr>
                <w:sz w:val="20"/>
                <w:szCs w:val="20"/>
              </w:rPr>
              <w:t>18,8</w:t>
            </w:r>
          </w:p>
        </w:tc>
        <w:tc>
          <w:tcPr>
            <w:tcW w:w="1100" w:type="dxa"/>
          </w:tcPr>
          <w:p w14:paraId="3CA1263E" w14:textId="77777777" w:rsidR="00940546" w:rsidRPr="00C3144A" w:rsidRDefault="00940546" w:rsidP="00C3144A">
            <w:pPr>
              <w:pStyle w:val="TableParagraph"/>
              <w:spacing w:line="360" w:lineRule="auto"/>
              <w:ind w:left="0" w:right="371"/>
              <w:jc w:val="both"/>
              <w:rPr>
                <w:sz w:val="20"/>
                <w:szCs w:val="20"/>
              </w:rPr>
            </w:pPr>
            <w:r w:rsidRPr="00C3144A">
              <w:rPr>
                <w:w w:val="95"/>
                <w:sz w:val="20"/>
                <w:szCs w:val="20"/>
              </w:rPr>
              <w:t>100</w:t>
            </w:r>
          </w:p>
        </w:tc>
        <w:tc>
          <w:tcPr>
            <w:tcW w:w="1585" w:type="dxa"/>
          </w:tcPr>
          <w:p w14:paraId="0D44DC0A" w14:textId="77777777" w:rsidR="00940546" w:rsidRPr="00C3144A" w:rsidRDefault="00940546" w:rsidP="00C3144A">
            <w:pPr>
              <w:pStyle w:val="TableParagraph"/>
              <w:spacing w:line="360" w:lineRule="auto"/>
              <w:ind w:left="566" w:right="546"/>
              <w:jc w:val="both"/>
              <w:rPr>
                <w:b/>
                <w:sz w:val="20"/>
                <w:szCs w:val="20"/>
              </w:rPr>
            </w:pPr>
            <w:r w:rsidRPr="00C3144A">
              <w:rPr>
                <w:b/>
                <w:sz w:val="20"/>
                <w:szCs w:val="20"/>
              </w:rPr>
              <w:t>29,2</w:t>
            </w:r>
          </w:p>
        </w:tc>
        <w:tc>
          <w:tcPr>
            <w:tcW w:w="1511" w:type="dxa"/>
          </w:tcPr>
          <w:p w14:paraId="25BA11FF" w14:textId="77777777" w:rsidR="00940546" w:rsidRPr="00C3144A" w:rsidRDefault="00940546" w:rsidP="00C3144A">
            <w:pPr>
              <w:pStyle w:val="TableParagraph"/>
              <w:spacing w:line="360" w:lineRule="auto"/>
              <w:ind w:left="375" w:right="358"/>
              <w:jc w:val="both"/>
              <w:rPr>
                <w:sz w:val="20"/>
                <w:szCs w:val="20"/>
              </w:rPr>
            </w:pPr>
            <w:r w:rsidRPr="00C3144A">
              <w:rPr>
                <w:sz w:val="20"/>
                <w:szCs w:val="20"/>
              </w:rPr>
              <w:t>5,3</w:t>
            </w:r>
          </w:p>
        </w:tc>
        <w:tc>
          <w:tcPr>
            <w:tcW w:w="978" w:type="dxa"/>
          </w:tcPr>
          <w:p w14:paraId="6E513D79" w14:textId="77777777" w:rsidR="00940546" w:rsidRPr="00C3144A" w:rsidRDefault="00940546" w:rsidP="00C3144A">
            <w:pPr>
              <w:pStyle w:val="TableParagraph"/>
              <w:spacing w:line="360" w:lineRule="auto"/>
              <w:ind w:left="72" w:right="60"/>
              <w:jc w:val="both"/>
              <w:rPr>
                <w:b/>
                <w:sz w:val="20"/>
                <w:szCs w:val="20"/>
              </w:rPr>
            </w:pPr>
            <w:r w:rsidRPr="00C3144A">
              <w:rPr>
                <w:b/>
                <w:sz w:val="20"/>
                <w:szCs w:val="20"/>
              </w:rPr>
              <w:t>0,8</w:t>
            </w:r>
          </w:p>
        </w:tc>
        <w:tc>
          <w:tcPr>
            <w:tcW w:w="1388" w:type="dxa"/>
          </w:tcPr>
          <w:p w14:paraId="3DB042FE" w14:textId="77777777" w:rsidR="00940546" w:rsidRPr="00C3144A" w:rsidRDefault="00940546" w:rsidP="00C3144A">
            <w:pPr>
              <w:pStyle w:val="TableParagraph"/>
              <w:spacing w:line="360" w:lineRule="auto"/>
              <w:ind w:left="107" w:right="94"/>
              <w:jc w:val="both"/>
              <w:rPr>
                <w:sz w:val="20"/>
                <w:szCs w:val="20"/>
              </w:rPr>
            </w:pPr>
            <w:r w:rsidRPr="00C3144A">
              <w:rPr>
                <w:sz w:val="20"/>
                <w:szCs w:val="20"/>
              </w:rPr>
              <w:t>10,0</w:t>
            </w:r>
          </w:p>
        </w:tc>
      </w:tr>
      <w:tr w:rsidR="00940546" w:rsidRPr="00C3144A" w14:paraId="23C66BC0" w14:textId="77777777" w:rsidTr="00750DB7">
        <w:trPr>
          <w:trHeight w:val="322"/>
        </w:trPr>
        <w:tc>
          <w:tcPr>
            <w:tcW w:w="2405" w:type="dxa"/>
          </w:tcPr>
          <w:p w14:paraId="595E7EB9" w14:textId="77777777" w:rsidR="00940546" w:rsidRPr="00C3144A" w:rsidRDefault="00940546" w:rsidP="00C3144A">
            <w:pPr>
              <w:pStyle w:val="TableParagraph"/>
              <w:spacing w:before="16" w:line="360" w:lineRule="auto"/>
              <w:ind w:left="24"/>
              <w:jc w:val="both"/>
              <w:rPr>
                <w:sz w:val="20"/>
                <w:szCs w:val="20"/>
              </w:rPr>
            </w:pPr>
            <w:proofErr w:type="spellStart"/>
            <w:r w:rsidRPr="00C3144A">
              <w:rPr>
                <w:sz w:val="20"/>
                <w:szCs w:val="20"/>
              </w:rPr>
              <w:t>Erb</w:t>
            </w:r>
            <w:proofErr w:type="spellEnd"/>
            <w:r w:rsidRPr="00C3144A">
              <w:rPr>
                <w:sz w:val="20"/>
                <w:szCs w:val="20"/>
              </w:rPr>
              <w:t>-A. Elbow</w:t>
            </w:r>
          </w:p>
        </w:tc>
        <w:tc>
          <w:tcPr>
            <w:tcW w:w="1011" w:type="dxa"/>
          </w:tcPr>
          <w:p w14:paraId="19306915" w14:textId="77777777" w:rsidR="00940546" w:rsidRPr="00C3144A" w:rsidRDefault="00940546" w:rsidP="00C3144A">
            <w:pPr>
              <w:pStyle w:val="TableParagraph"/>
              <w:spacing w:line="360" w:lineRule="auto"/>
              <w:ind w:left="25"/>
              <w:jc w:val="both"/>
              <w:rPr>
                <w:sz w:val="20"/>
                <w:szCs w:val="20"/>
              </w:rPr>
            </w:pPr>
            <w:r w:rsidRPr="00C3144A">
              <w:rPr>
                <w:sz w:val="20"/>
                <w:szCs w:val="20"/>
              </w:rPr>
              <w:t>22,6</w:t>
            </w:r>
          </w:p>
        </w:tc>
        <w:tc>
          <w:tcPr>
            <w:tcW w:w="1100" w:type="dxa"/>
          </w:tcPr>
          <w:p w14:paraId="713C175A" w14:textId="77777777" w:rsidR="00940546" w:rsidRPr="00C3144A" w:rsidRDefault="00940546" w:rsidP="00C3144A">
            <w:pPr>
              <w:pStyle w:val="TableParagraph"/>
              <w:spacing w:line="360" w:lineRule="auto"/>
              <w:ind w:left="0" w:right="371"/>
              <w:jc w:val="both"/>
              <w:rPr>
                <w:sz w:val="20"/>
                <w:szCs w:val="20"/>
              </w:rPr>
            </w:pPr>
            <w:r w:rsidRPr="00C3144A">
              <w:rPr>
                <w:w w:val="95"/>
                <w:sz w:val="20"/>
                <w:szCs w:val="20"/>
              </w:rPr>
              <w:t>150</w:t>
            </w:r>
          </w:p>
        </w:tc>
        <w:tc>
          <w:tcPr>
            <w:tcW w:w="1585" w:type="dxa"/>
          </w:tcPr>
          <w:p w14:paraId="2958D7E6" w14:textId="77777777" w:rsidR="00940546" w:rsidRPr="00C3144A" w:rsidRDefault="00940546" w:rsidP="00C3144A">
            <w:pPr>
              <w:pStyle w:val="TableParagraph"/>
              <w:spacing w:line="360" w:lineRule="auto"/>
              <w:ind w:left="566" w:right="546"/>
              <w:jc w:val="both"/>
              <w:rPr>
                <w:b/>
                <w:sz w:val="20"/>
                <w:szCs w:val="20"/>
              </w:rPr>
            </w:pPr>
            <w:r w:rsidRPr="00C3144A">
              <w:rPr>
                <w:b/>
                <w:sz w:val="20"/>
                <w:szCs w:val="20"/>
              </w:rPr>
              <w:t>39,7</w:t>
            </w:r>
          </w:p>
        </w:tc>
        <w:tc>
          <w:tcPr>
            <w:tcW w:w="1511" w:type="dxa"/>
          </w:tcPr>
          <w:p w14:paraId="505F644D" w14:textId="77777777" w:rsidR="00940546" w:rsidRPr="00C3144A" w:rsidRDefault="00940546" w:rsidP="00C3144A">
            <w:pPr>
              <w:pStyle w:val="TableParagraph"/>
              <w:spacing w:line="360" w:lineRule="auto"/>
              <w:ind w:left="375" w:right="358"/>
              <w:jc w:val="both"/>
              <w:rPr>
                <w:sz w:val="20"/>
                <w:szCs w:val="20"/>
              </w:rPr>
            </w:pPr>
            <w:r w:rsidRPr="00C3144A">
              <w:rPr>
                <w:sz w:val="20"/>
                <w:szCs w:val="20"/>
              </w:rPr>
              <w:t>3,9</w:t>
            </w:r>
          </w:p>
        </w:tc>
        <w:tc>
          <w:tcPr>
            <w:tcW w:w="978" w:type="dxa"/>
          </w:tcPr>
          <w:p w14:paraId="7697BE54" w14:textId="77777777" w:rsidR="00940546" w:rsidRPr="00C3144A" w:rsidRDefault="00940546" w:rsidP="00C3144A">
            <w:pPr>
              <w:pStyle w:val="TableParagraph"/>
              <w:spacing w:line="360" w:lineRule="auto"/>
              <w:ind w:left="72" w:right="60"/>
              <w:jc w:val="both"/>
              <w:rPr>
                <w:b/>
                <w:sz w:val="20"/>
                <w:szCs w:val="20"/>
              </w:rPr>
            </w:pPr>
            <w:r w:rsidRPr="00C3144A">
              <w:rPr>
                <w:b/>
                <w:sz w:val="20"/>
                <w:szCs w:val="20"/>
              </w:rPr>
              <w:t>0,6</w:t>
            </w:r>
          </w:p>
        </w:tc>
        <w:tc>
          <w:tcPr>
            <w:tcW w:w="1388" w:type="dxa"/>
          </w:tcPr>
          <w:p w14:paraId="366D8CFC" w14:textId="77777777" w:rsidR="00940546" w:rsidRPr="00C3144A" w:rsidRDefault="00940546" w:rsidP="00C3144A">
            <w:pPr>
              <w:pStyle w:val="TableParagraph"/>
              <w:spacing w:line="360" w:lineRule="auto"/>
              <w:ind w:left="107" w:right="94"/>
              <w:jc w:val="both"/>
              <w:rPr>
                <w:sz w:val="20"/>
                <w:szCs w:val="20"/>
              </w:rPr>
            </w:pPr>
            <w:r w:rsidRPr="00C3144A">
              <w:rPr>
                <w:sz w:val="20"/>
                <w:szCs w:val="20"/>
              </w:rPr>
              <w:t>-31,6</w:t>
            </w:r>
          </w:p>
        </w:tc>
      </w:tr>
      <w:tr w:rsidR="00940546" w:rsidRPr="00C3144A" w14:paraId="0E15AA82" w14:textId="77777777" w:rsidTr="00750DB7">
        <w:trPr>
          <w:trHeight w:val="274"/>
        </w:trPr>
        <w:tc>
          <w:tcPr>
            <w:tcW w:w="9978" w:type="dxa"/>
            <w:gridSpan w:val="7"/>
          </w:tcPr>
          <w:p w14:paraId="0E20742D" w14:textId="77777777" w:rsidR="00940546" w:rsidRPr="00C3144A" w:rsidRDefault="00940546" w:rsidP="00C3144A">
            <w:pPr>
              <w:pStyle w:val="TableParagraph"/>
              <w:spacing w:before="15" w:line="360" w:lineRule="auto"/>
              <w:ind w:left="24"/>
              <w:jc w:val="both"/>
              <w:rPr>
                <w:b/>
                <w:sz w:val="20"/>
                <w:szCs w:val="20"/>
              </w:rPr>
            </w:pPr>
            <w:r w:rsidRPr="00C3144A">
              <w:rPr>
                <w:b/>
                <w:sz w:val="20"/>
                <w:szCs w:val="20"/>
              </w:rPr>
              <w:t>Tibialis Ah (Left)</w:t>
            </w:r>
          </w:p>
        </w:tc>
      </w:tr>
      <w:tr w:rsidR="00940546" w:rsidRPr="00C3144A" w14:paraId="2FF1093B" w14:textId="77777777" w:rsidTr="00750DB7">
        <w:trPr>
          <w:trHeight w:val="322"/>
        </w:trPr>
        <w:tc>
          <w:tcPr>
            <w:tcW w:w="2405" w:type="dxa"/>
          </w:tcPr>
          <w:p w14:paraId="703AEDA1" w14:textId="77777777" w:rsidR="00940546" w:rsidRPr="00C3144A" w:rsidRDefault="00940546" w:rsidP="00C3144A">
            <w:pPr>
              <w:pStyle w:val="TableParagraph"/>
              <w:spacing w:before="19" w:line="360" w:lineRule="auto"/>
              <w:ind w:left="24"/>
              <w:jc w:val="both"/>
              <w:rPr>
                <w:sz w:val="20"/>
                <w:szCs w:val="20"/>
              </w:rPr>
            </w:pPr>
            <w:r w:rsidRPr="00C3144A">
              <w:rPr>
                <w:sz w:val="20"/>
                <w:szCs w:val="20"/>
              </w:rPr>
              <w:t>Ankle-AH</w:t>
            </w:r>
          </w:p>
        </w:tc>
        <w:tc>
          <w:tcPr>
            <w:tcW w:w="1011" w:type="dxa"/>
          </w:tcPr>
          <w:p w14:paraId="1FBB205E" w14:textId="77777777" w:rsidR="00940546" w:rsidRPr="00C3144A" w:rsidRDefault="00940546" w:rsidP="00C3144A">
            <w:pPr>
              <w:pStyle w:val="TableParagraph"/>
              <w:spacing w:before="42" w:line="360" w:lineRule="auto"/>
              <w:ind w:left="25"/>
              <w:jc w:val="both"/>
              <w:rPr>
                <w:b/>
                <w:sz w:val="20"/>
                <w:szCs w:val="20"/>
              </w:rPr>
            </w:pPr>
            <w:r w:rsidRPr="00C3144A">
              <w:rPr>
                <w:b/>
                <w:sz w:val="20"/>
                <w:szCs w:val="20"/>
              </w:rPr>
              <w:t>7,6</w:t>
            </w:r>
          </w:p>
        </w:tc>
        <w:tc>
          <w:tcPr>
            <w:tcW w:w="1100" w:type="dxa"/>
          </w:tcPr>
          <w:p w14:paraId="68D578C2" w14:textId="77777777" w:rsidR="00940546" w:rsidRPr="00C3144A" w:rsidRDefault="00940546" w:rsidP="00C3144A">
            <w:pPr>
              <w:pStyle w:val="TableParagraph"/>
              <w:spacing w:before="42" w:line="360" w:lineRule="auto"/>
              <w:ind w:left="0" w:right="419"/>
              <w:jc w:val="both"/>
              <w:rPr>
                <w:sz w:val="20"/>
                <w:szCs w:val="20"/>
              </w:rPr>
            </w:pPr>
            <w:r w:rsidRPr="00C3144A">
              <w:rPr>
                <w:w w:val="95"/>
                <w:sz w:val="20"/>
                <w:szCs w:val="20"/>
              </w:rPr>
              <w:t>90</w:t>
            </w:r>
          </w:p>
        </w:tc>
        <w:tc>
          <w:tcPr>
            <w:tcW w:w="1585" w:type="dxa"/>
          </w:tcPr>
          <w:p w14:paraId="608696AC" w14:textId="77777777" w:rsidR="00940546" w:rsidRPr="00C3144A" w:rsidRDefault="00940546" w:rsidP="00C3144A">
            <w:pPr>
              <w:pStyle w:val="TableParagraph"/>
              <w:spacing w:before="0" w:line="360" w:lineRule="auto"/>
              <w:ind w:left="0"/>
              <w:jc w:val="both"/>
              <w:rPr>
                <w:sz w:val="20"/>
                <w:szCs w:val="20"/>
              </w:rPr>
            </w:pPr>
          </w:p>
        </w:tc>
        <w:tc>
          <w:tcPr>
            <w:tcW w:w="1511" w:type="dxa"/>
          </w:tcPr>
          <w:p w14:paraId="264F296A" w14:textId="77777777" w:rsidR="00940546" w:rsidRPr="00C3144A" w:rsidRDefault="00940546" w:rsidP="00C3144A">
            <w:pPr>
              <w:pStyle w:val="TableParagraph"/>
              <w:spacing w:before="42" w:line="360" w:lineRule="auto"/>
              <w:ind w:left="372" w:right="359"/>
              <w:jc w:val="both"/>
              <w:rPr>
                <w:sz w:val="20"/>
                <w:szCs w:val="20"/>
              </w:rPr>
            </w:pPr>
            <w:r w:rsidRPr="00C3144A">
              <w:rPr>
                <w:sz w:val="20"/>
                <w:szCs w:val="20"/>
              </w:rPr>
              <w:t>20,1</w:t>
            </w:r>
          </w:p>
        </w:tc>
        <w:tc>
          <w:tcPr>
            <w:tcW w:w="978" w:type="dxa"/>
          </w:tcPr>
          <w:p w14:paraId="45F494AF" w14:textId="77777777" w:rsidR="00940546" w:rsidRPr="00C3144A" w:rsidRDefault="00940546" w:rsidP="00C3144A">
            <w:pPr>
              <w:pStyle w:val="TableParagraph"/>
              <w:spacing w:before="42" w:line="360" w:lineRule="auto"/>
              <w:ind w:left="72" w:right="60"/>
              <w:jc w:val="both"/>
              <w:rPr>
                <w:sz w:val="20"/>
                <w:szCs w:val="20"/>
              </w:rPr>
            </w:pPr>
            <w:r w:rsidRPr="00C3144A">
              <w:rPr>
                <w:sz w:val="20"/>
                <w:szCs w:val="20"/>
              </w:rPr>
              <w:t>2,1</w:t>
            </w:r>
          </w:p>
        </w:tc>
        <w:tc>
          <w:tcPr>
            <w:tcW w:w="1388" w:type="dxa"/>
          </w:tcPr>
          <w:p w14:paraId="52F8DADC" w14:textId="77777777" w:rsidR="00940546" w:rsidRPr="00C3144A" w:rsidRDefault="00940546" w:rsidP="00C3144A">
            <w:pPr>
              <w:pStyle w:val="TableParagraph"/>
              <w:spacing w:before="0" w:line="360" w:lineRule="auto"/>
              <w:ind w:left="0"/>
              <w:jc w:val="both"/>
              <w:rPr>
                <w:sz w:val="20"/>
                <w:szCs w:val="20"/>
              </w:rPr>
            </w:pPr>
          </w:p>
        </w:tc>
      </w:tr>
      <w:tr w:rsidR="00940546" w:rsidRPr="00C3144A" w14:paraId="54B6E88B" w14:textId="77777777" w:rsidTr="00750DB7">
        <w:trPr>
          <w:trHeight w:val="322"/>
        </w:trPr>
        <w:tc>
          <w:tcPr>
            <w:tcW w:w="2405" w:type="dxa"/>
          </w:tcPr>
          <w:p w14:paraId="4CFBF812" w14:textId="77777777" w:rsidR="00940546" w:rsidRPr="00C3144A" w:rsidRDefault="00940546" w:rsidP="00C3144A">
            <w:pPr>
              <w:pStyle w:val="TableParagraph"/>
              <w:spacing w:before="16" w:line="360" w:lineRule="auto"/>
              <w:ind w:left="24"/>
              <w:jc w:val="both"/>
              <w:rPr>
                <w:sz w:val="20"/>
                <w:szCs w:val="20"/>
              </w:rPr>
            </w:pPr>
            <w:r w:rsidRPr="00C3144A">
              <w:rPr>
                <w:sz w:val="20"/>
                <w:szCs w:val="20"/>
              </w:rPr>
              <w:t>Knee-Ankle</w:t>
            </w:r>
          </w:p>
        </w:tc>
        <w:tc>
          <w:tcPr>
            <w:tcW w:w="1011" w:type="dxa"/>
          </w:tcPr>
          <w:p w14:paraId="7968A9FF" w14:textId="77777777" w:rsidR="00940546" w:rsidRPr="00C3144A" w:rsidRDefault="00940546" w:rsidP="00C3144A">
            <w:pPr>
              <w:pStyle w:val="TableParagraph"/>
              <w:spacing w:line="360" w:lineRule="auto"/>
              <w:ind w:left="26"/>
              <w:jc w:val="both"/>
              <w:rPr>
                <w:sz w:val="20"/>
                <w:szCs w:val="20"/>
              </w:rPr>
            </w:pPr>
            <w:r w:rsidRPr="00C3144A">
              <w:rPr>
                <w:sz w:val="20"/>
                <w:szCs w:val="20"/>
              </w:rPr>
              <w:t>16,5</w:t>
            </w:r>
          </w:p>
        </w:tc>
        <w:tc>
          <w:tcPr>
            <w:tcW w:w="1100" w:type="dxa"/>
          </w:tcPr>
          <w:p w14:paraId="3F4E8536" w14:textId="77777777" w:rsidR="00940546" w:rsidRPr="00C3144A" w:rsidRDefault="00940546" w:rsidP="00C3144A">
            <w:pPr>
              <w:pStyle w:val="TableParagraph"/>
              <w:spacing w:line="360" w:lineRule="auto"/>
              <w:ind w:left="0" w:right="371"/>
              <w:jc w:val="both"/>
              <w:rPr>
                <w:sz w:val="20"/>
                <w:szCs w:val="20"/>
              </w:rPr>
            </w:pPr>
            <w:r w:rsidRPr="00C3144A">
              <w:rPr>
                <w:w w:val="95"/>
                <w:sz w:val="20"/>
                <w:szCs w:val="20"/>
              </w:rPr>
              <w:t>320</w:t>
            </w:r>
          </w:p>
        </w:tc>
        <w:tc>
          <w:tcPr>
            <w:tcW w:w="1585" w:type="dxa"/>
          </w:tcPr>
          <w:p w14:paraId="42593FE9" w14:textId="77777777" w:rsidR="00940546" w:rsidRPr="00C3144A" w:rsidRDefault="00940546" w:rsidP="00C3144A">
            <w:pPr>
              <w:pStyle w:val="TableParagraph"/>
              <w:spacing w:line="360" w:lineRule="auto"/>
              <w:ind w:left="566" w:right="546"/>
              <w:jc w:val="both"/>
              <w:rPr>
                <w:b/>
                <w:sz w:val="20"/>
                <w:szCs w:val="20"/>
              </w:rPr>
            </w:pPr>
            <w:r w:rsidRPr="00C3144A">
              <w:rPr>
                <w:b/>
                <w:sz w:val="20"/>
                <w:szCs w:val="20"/>
              </w:rPr>
              <w:t>35,9</w:t>
            </w:r>
          </w:p>
        </w:tc>
        <w:tc>
          <w:tcPr>
            <w:tcW w:w="1511" w:type="dxa"/>
          </w:tcPr>
          <w:p w14:paraId="74F59892" w14:textId="77777777" w:rsidR="00940546" w:rsidRPr="00C3144A" w:rsidRDefault="00940546" w:rsidP="00C3144A">
            <w:pPr>
              <w:pStyle w:val="TableParagraph"/>
              <w:spacing w:line="360" w:lineRule="auto"/>
              <w:ind w:left="372" w:right="359"/>
              <w:jc w:val="both"/>
              <w:rPr>
                <w:sz w:val="20"/>
                <w:szCs w:val="20"/>
              </w:rPr>
            </w:pPr>
            <w:r w:rsidRPr="00C3144A">
              <w:rPr>
                <w:sz w:val="20"/>
                <w:szCs w:val="20"/>
              </w:rPr>
              <w:t>16,7</w:t>
            </w:r>
          </w:p>
        </w:tc>
        <w:tc>
          <w:tcPr>
            <w:tcW w:w="978" w:type="dxa"/>
          </w:tcPr>
          <w:p w14:paraId="0CEB0B75" w14:textId="77777777" w:rsidR="00940546" w:rsidRPr="00C3144A" w:rsidRDefault="00940546" w:rsidP="00C3144A">
            <w:pPr>
              <w:pStyle w:val="TableParagraph"/>
              <w:spacing w:line="360" w:lineRule="auto"/>
              <w:ind w:left="72" w:right="59"/>
              <w:jc w:val="both"/>
              <w:rPr>
                <w:sz w:val="20"/>
                <w:szCs w:val="20"/>
              </w:rPr>
            </w:pPr>
            <w:r w:rsidRPr="00C3144A">
              <w:rPr>
                <w:sz w:val="20"/>
                <w:szCs w:val="20"/>
              </w:rPr>
              <w:t>1,7</w:t>
            </w:r>
          </w:p>
        </w:tc>
        <w:tc>
          <w:tcPr>
            <w:tcW w:w="1388" w:type="dxa"/>
          </w:tcPr>
          <w:p w14:paraId="30234911" w14:textId="77777777" w:rsidR="00940546" w:rsidRPr="00C3144A" w:rsidRDefault="00940546" w:rsidP="00C3144A">
            <w:pPr>
              <w:pStyle w:val="TableParagraph"/>
              <w:spacing w:before="0" w:line="360" w:lineRule="auto"/>
              <w:ind w:left="0"/>
              <w:jc w:val="both"/>
              <w:rPr>
                <w:sz w:val="20"/>
                <w:szCs w:val="20"/>
              </w:rPr>
            </w:pPr>
          </w:p>
        </w:tc>
      </w:tr>
    </w:tbl>
    <w:p w14:paraId="0803EE65" w14:textId="77777777" w:rsidR="00940546" w:rsidRPr="00C3144A" w:rsidRDefault="00940546" w:rsidP="00C3144A">
      <w:pPr>
        <w:pStyle w:val="BodyText"/>
        <w:spacing w:line="360" w:lineRule="auto"/>
        <w:jc w:val="both"/>
        <w:rPr>
          <w:sz w:val="20"/>
          <w:szCs w:val="20"/>
        </w:rPr>
      </w:pPr>
    </w:p>
    <w:p w14:paraId="19DD60A0" w14:textId="77777777" w:rsidR="00940546" w:rsidRPr="00C3144A" w:rsidRDefault="00940546" w:rsidP="00C3144A">
      <w:pPr>
        <w:pStyle w:val="BodyText"/>
        <w:spacing w:line="360" w:lineRule="auto"/>
        <w:jc w:val="both"/>
        <w:rPr>
          <w:sz w:val="20"/>
          <w:szCs w:val="20"/>
        </w:rPr>
      </w:pPr>
    </w:p>
    <w:p w14:paraId="54A8A3FF" w14:textId="096FBBCB" w:rsidR="00515173" w:rsidRDefault="00515173" w:rsidP="00515173">
      <w:pPr>
        <w:spacing w:line="360" w:lineRule="auto"/>
        <w:ind w:left="115"/>
        <w:jc w:val="both"/>
        <w:rPr>
          <w:b/>
          <w:sz w:val="20"/>
          <w:szCs w:val="20"/>
        </w:rPr>
      </w:pPr>
      <w:r w:rsidRPr="007178EF">
        <w:rPr>
          <w:b/>
          <w:sz w:val="20"/>
          <w:szCs w:val="20"/>
          <w:highlight w:val="yellow"/>
        </w:rPr>
        <w:t xml:space="preserve">Figures </w:t>
      </w:r>
      <w:r>
        <w:rPr>
          <w:b/>
          <w:sz w:val="20"/>
          <w:szCs w:val="20"/>
          <w:highlight w:val="yellow"/>
        </w:rPr>
        <w:t>9</w:t>
      </w:r>
      <w:r w:rsidRPr="007178EF">
        <w:rPr>
          <w:b/>
          <w:sz w:val="20"/>
          <w:szCs w:val="20"/>
          <w:highlight w:val="yellow"/>
        </w:rPr>
        <w:t xml:space="preserve">, </w:t>
      </w:r>
      <w:r>
        <w:rPr>
          <w:b/>
          <w:sz w:val="20"/>
          <w:szCs w:val="20"/>
          <w:highlight w:val="yellow"/>
        </w:rPr>
        <w:t xml:space="preserve">8 </w:t>
      </w:r>
      <w:r w:rsidRPr="007178EF">
        <w:rPr>
          <w:b/>
          <w:sz w:val="20"/>
          <w:szCs w:val="20"/>
          <w:highlight w:val="yellow"/>
        </w:rPr>
        <w:t xml:space="preserve">and </w:t>
      </w:r>
      <w:r>
        <w:rPr>
          <w:b/>
          <w:sz w:val="20"/>
          <w:szCs w:val="20"/>
          <w:highlight w:val="yellow"/>
        </w:rPr>
        <w:t>9</w:t>
      </w:r>
      <w:r w:rsidRPr="007178EF">
        <w:rPr>
          <w:b/>
          <w:sz w:val="20"/>
          <w:szCs w:val="20"/>
          <w:highlight w:val="yellow"/>
        </w:rPr>
        <w:t xml:space="preserve"> Insert Here</w:t>
      </w:r>
    </w:p>
    <w:p w14:paraId="1E8412DF" w14:textId="4B547749" w:rsidR="00515173" w:rsidRDefault="00515173" w:rsidP="00515173">
      <w:pPr>
        <w:spacing w:line="360" w:lineRule="auto"/>
        <w:ind w:left="115"/>
        <w:jc w:val="both"/>
        <w:rPr>
          <w:b/>
          <w:sz w:val="20"/>
          <w:szCs w:val="20"/>
        </w:rPr>
      </w:pPr>
    </w:p>
    <w:p w14:paraId="35C20779" w14:textId="77777777" w:rsidR="00940546" w:rsidRPr="00C3144A" w:rsidRDefault="00940546" w:rsidP="00C3144A">
      <w:pPr>
        <w:pStyle w:val="BodyText"/>
        <w:spacing w:before="3" w:line="360" w:lineRule="auto"/>
        <w:jc w:val="both"/>
        <w:rPr>
          <w:b/>
          <w:sz w:val="20"/>
          <w:szCs w:val="20"/>
        </w:rPr>
      </w:pPr>
    </w:p>
    <w:tbl>
      <w:tblPr>
        <w:tblW w:w="0" w:type="auto"/>
        <w:tblInd w:w="135" w:type="dxa"/>
        <w:tblBorders>
          <w:top w:val="single" w:sz="12" w:space="0" w:color="CDCDCD"/>
          <w:left w:val="single" w:sz="12" w:space="0" w:color="CDCDCD"/>
          <w:bottom w:val="single" w:sz="12" w:space="0" w:color="CDCDCD"/>
          <w:right w:val="single" w:sz="12" w:space="0" w:color="CDCDCD"/>
          <w:insideH w:val="single" w:sz="12" w:space="0" w:color="CDCDCD"/>
          <w:insideV w:val="single" w:sz="12" w:space="0" w:color="CDCDCD"/>
        </w:tblBorders>
        <w:tblLayout w:type="fixed"/>
        <w:tblCellMar>
          <w:left w:w="0" w:type="dxa"/>
          <w:right w:w="0" w:type="dxa"/>
        </w:tblCellMar>
        <w:tblLook w:val="01E0" w:firstRow="1" w:lastRow="1" w:firstColumn="1" w:lastColumn="1" w:noHBand="0" w:noVBand="0"/>
      </w:tblPr>
      <w:tblGrid>
        <w:gridCol w:w="3118"/>
        <w:gridCol w:w="872"/>
        <w:gridCol w:w="1506"/>
        <w:gridCol w:w="1928"/>
        <w:gridCol w:w="973"/>
        <w:gridCol w:w="1580"/>
      </w:tblGrid>
      <w:tr w:rsidR="00940546" w:rsidRPr="00C3144A" w14:paraId="5A365BF8" w14:textId="77777777" w:rsidTr="00750DB7">
        <w:trPr>
          <w:trHeight w:val="277"/>
        </w:trPr>
        <w:tc>
          <w:tcPr>
            <w:tcW w:w="3118" w:type="dxa"/>
          </w:tcPr>
          <w:p w14:paraId="6FA570B1" w14:textId="77777777" w:rsidR="00940546" w:rsidRPr="00C3144A" w:rsidRDefault="00940546" w:rsidP="00C3144A">
            <w:pPr>
              <w:pStyle w:val="TableParagraph"/>
              <w:spacing w:before="22" w:line="360" w:lineRule="auto"/>
              <w:jc w:val="both"/>
              <w:rPr>
                <w:b/>
                <w:sz w:val="20"/>
                <w:szCs w:val="20"/>
              </w:rPr>
            </w:pPr>
            <w:r w:rsidRPr="00C3144A">
              <w:rPr>
                <w:b/>
                <w:sz w:val="20"/>
                <w:szCs w:val="20"/>
              </w:rPr>
              <w:t>Sensory NCS</w:t>
            </w:r>
          </w:p>
        </w:tc>
        <w:tc>
          <w:tcPr>
            <w:tcW w:w="872" w:type="dxa"/>
          </w:tcPr>
          <w:p w14:paraId="38E117EF" w14:textId="77777777" w:rsidR="00940546" w:rsidRPr="00C3144A" w:rsidRDefault="00940546" w:rsidP="00C3144A">
            <w:pPr>
              <w:pStyle w:val="TableParagraph"/>
              <w:spacing w:before="22" w:line="360" w:lineRule="auto"/>
              <w:ind w:left="206" w:right="233"/>
              <w:jc w:val="both"/>
              <w:rPr>
                <w:b/>
                <w:sz w:val="20"/>
                <w:szCs w:val="20"/>
              </w:rPr>
            </w:pPr>
            <w:proofErr w:type="spellStart"/>
            <w:r w:rsidRPr="00C3144A">
              <w:rPr>
                <w:b/>
                <w:sz w:val="20"/>
                <w:szCs w:val="20"/>
              </w:rPr>
              <w:t>Dist</w:t>
            </w:r>
            <w:proofErr w:type="spellEnd"/>
          </w:p>
        </w:tc>
        <w:tc>
          <w:tcPr>
            <w:tcW w:w="1506" w:type="dxa"/>
          </w:tcPr>
          <w:p w14:paraId="2E5FF960" w14:textId="77777777" w:rsidR="00940546" w:rsidRPr="00C3144A" w:rsidRDefault="00940546" w:rsidP="00C3144A">
            <w:pPr>
              <w:pStyle w:val="TableParagraph"/>
              <w:spacing w:before="22" w:line="360" w:lineRule="auto"/>
              <w:ind w:left="355" w:right="340"/>
              <w:jc w:val="both"/>
              <w:rPr>
                <w:b/>
                <w:sz w:val="20"/>
                <w:szCs w:val="20"/>
              </w:rPr>
            </w:pPr>
            <w:r w:rsidRPr="00C3144A">
              <w:rPr>
                <w:b/>
                <w:sz w:val="20"/>
                <w:szCs w:val="20"/>
              </w:rPr>
              <w:t>Lat 1pos</w:t>
            </w:r>
          </w:p>
        </w:tc>
        <w:tc>
          <w:tcPr>
            <w:tcW w:w="1928" w:type="dxa"/>
          </w:tcPr>
          <w:p w14:paraId="32EEB1A4" w14:textId="77777777" w:rsidR="00940546" w:rsidRPr="00C3144A" w:rsidRDefault="00940546" w:rsidP="00C3144A">
            <w:pPr>
              <w:pStyle w:val="TableParagraph"/>
              <w:spacing w:before="22" w:line="360" w:lineRule="auto"/>
              <w:ind w:left="443" w:right="430"/>
              <w:jc w:val="both"/>
              <w:rPr>
                <w:b/>
                <w:sz w:val="20"/>
                <w:szCs w:val="20"/>
              </w:rPr>
            </w:pPr>
            <w:r w:rsidRPr="00C3144A">
              <w:rPr>
                <w:b/>
                <w:sz w:val="20"/>
                <w:szCs w:val="20"/>
              </w:rPr>
              <w:t>Amp pk-pk</w:t>
            </w:r>
          </w:p>
        </w:tc>
        <w:tc>
          <w:tcPr>
            <w:tcW w:w="973" w:type="dxa"/>
          </w:tcPr>
          <w:p w14:paraId="0A21AB49" w14:textId="77777777" w:rsidR="00940546" w:rsidRPr="00C3144A" w:rsidRDefault="00940546" w:rsidP="00C3144A">
            <w:pPr>
              <w:pStyle w:val="TableParagraph"/>
              <w:spacing w:before="22" w:line="360" w:lineRule="auto"/>
              <w:ind w:left="236" w:right="270"/>
              <w:jc w:val="both"/>
              <w:rPr>
                <w:b/>
                <w:sz w:val="20"/>
                <w:szCs w:val="20"/>
              </w:rPr>
            </w:pPr>
            <w:proofErr w:type="spellStart"/>
            <w:r w:rsidRPr="00C3144A">
              <w:rPr>
                <w:b/>
                <w:sz w:val="20"/>
                <w:szCs w:val="20"/>
              </w:rPr>
              <w:t>Vcs</w:t>
            </w:r>
            <w:proofErr w:type="spellEnd"/>
          </w:p>
        </w:tc>
        <w:tc>
          <w:tcPr>
            <w:tcW w:w="1580" w:type="dxa"/>
          </w:tcPr>
          <w:p w14:paraId="48B4C6AB" w14:textId="77777777" w:rsidR="00940546" w:rsidRPr="00C3144A" w:rsidRDefault="00940546" w:rsidP="00C3144A">
            <w:pPr>
              <w:pStyle w:val="TableParagraph"/>
              <w:spacing w:before="22" w:line="360" w:lineRule="auto"/>
              <w:ind w:left="374" w:right="362"/>
              <w:jc w:val="both"/>
              <w:rPr>
                <w:b/>
                <w:sz w:val="20"/>
                <w:szCs w:val="20"/>
              </w:rPr>
            </w:pPr>
            <w:r w:rsidRPr="00C3144A">
              <w:rPr>
                <w:b/>
                <w:sz w:val="20"/>
                <w:szCs w:val="20"/>
              </w:rPr>
              <w:t>Amp neg</w:t>
            </w:r>
          </w:p>
        </w:tc>
      </w:tr>
      <w:tr w:rsidR="00940546" w:rsidRPr="00C3144A" w14:paraId="08506243" w14:textId="77777777" w:rsidTr="00750DB7">
        <w:trPr>
          <w:trHeight w:val="277"/>
        </w:trPr>
        <w:tc>
          <w:tcPr>
            <w:tcW w:w="3118" w:type="dxa"/>
          </w:tcPr>
          <w:p w14:paraId="72732EBA" w14:textId="77777777" w:rsidR="00940546" w:rsidRPr="00C3144A" w:rsidRDefault="00940546" w:rsidP="00C3144A">
            <w:pPr>
              <w:pStyle w:val="TableParagraph"/>
              <w:spacing w:before="0" w:line="360" w:lineRule="auto"/>
              <w:ind w:left="0"/>
              <w:jc w:val="both"/>
              <w:rPr>
                <w:sz w:val="20"/>
                <w:szCs w:val="20"/>
              </w:rPr>
            </w:pPr>
          </w:p>
        </w:tc>
        <w:tc>
          <w:tcPr>
            <w:tcW w:w="872" w:type="dxa"/>
          </w:tcPr>
          <w:p w14:paraId="47D49C84" w14:textId="77777777" w:rsidR="00940546" w:rsidRPr="00C3144A" w:rsidRDefault="00940546" w:rsidP="00C3144A">
            <w:pPr>
              <w:pStyle w:val="TableParagraph"/>
              <w:spacing w:before="22" w:line="360" w:lineRule="auto"/>
              <w:ind w:left="215" w:right="192"/>
              <w:jc w:val="both"/>
              <w:rPr>
                <w:sz w:val="20"/>
                <w:szCs w:val="20"/>
              </w:rPr>
            </w:pPr>
            <w:r w:rsidRPr="00C3144A">
              <w:rPr>
                <w:sz w:val="20"/>
                <w:szCs w:val="20"/>
              </w:rPr>
              <w:t>mm</w:t>
            </w:r>
          </w:p>
        </w:tc>
        <w:tc>
          <w:tcPr>
            <w:tcW w:w="1506" w:type="dxa"/>
          </w:tcPr>
          <w:p w14:paraId="4285530A" w14:textId="77777777" w:rsidR="00940546" w:rsidRPr="00C3144A" w:rsidRDefault="00940546" w:rsidP="00C3144A">
            <w:pPr>
              <w:pStyle w:val="TableParagraph"/>
              <w:spacing w:before="22" w:line="360" w:lineRule="auto"/>
              <w:ind w:left="355" w:right="334"/>
              <w:jc w:val="both"/>
              <w:rPr>
                <w:sz w:val="20"/>
                <w:szCs w:val="20"/>
              </w:rPr>
            </w:pPr>
            <w:proofErr w:type="spellStart"/>
            <w:r w:rsidRPr="00C3144A">
              <w:rPr>
                <w:sz w:val="20"/>
                <w:szCs w:val="20"/>
              </w:rPr>
              <w:t>ms</w:t>
            </w:r>
            <w:proofErr w:type="spellEnd"/>
          </w:p>
        </w:tc>
        <w:tc>
          <w:tcPr>
            <w:tcW w:w="1928" w:type="dxa"/>
          </w:tcPr>
          <w:p w14:paraId="0FCF6D5E" w14:textId="77777777" w:rsidR="00940546" w:rsidRPr="00C3144A" w:rsidRDefault="00940546" w:rsidP="00C3144A">
            <w:pPr>
              <w:pStyle w:val="TableParagraph"/>
              <w:spacing w:before="22" w:line="360" w:lineRule="auto"/>
              <w:ind w:left="443" w:right="425"/>
              <w:jc w:val="both"/>
              <w:rPr>
                <w:sz w:val="20"/>
                <w:szCs w:val="20"/>
              </w:rPr>
            </w:pPr>
            <w:proofErr w:type="spellStart"/>
            <w:r w:rsidRPr="00C3144A">
              <w:rPr>
                <w:sz w:val="20"/>
                <w:szCs w:val="20"/>
              </w:rPr>
              <w:t>μV</w:t>
            </w:r>
            <w:proofErr w:type="spellEnd"/>
          </w:p>
        </w:tc>
        <w:tc>
          <w:tcPr>
            <w:tcW w:w="973" w:type="dxa"/>
          </w:tcPr>
          <w:p w14:paraId="23A3749C" w14:textId="77777777" w:rsidR="00940546" w:rsidRPr="00C3144A" w:rsidRDefault="00940546" w:rsidP="00C3144A">
            <w:pPr>
              <w:pStyle w:val="TableParagraph"/>
              <w:spacing w:before="22" w:line="360" w:lineRule="auto"/>
              <w:ind w:left="278" w:right="264"/>
              <w:jc w:val="both"/>
              <w:rPr>
                <w:sz w:val="20"/>
                <w:szCs w:val="20"/>
              </w:rPr>
            </w:pPr>
            <w:r w:rsidRPr="00C3144A">
              <w:rPr>
                <w:sz w:val="20"/>
                <w:szCs w:val="20"/>
              </w:rPr>
              <w:t>m/s</w:t>
            </w:r>
          </w:p>
        </w:tc>
        <w:tc>
          <w:tcPr>
            <w:tcW w:w="1580" w:type="dxa"/>
          </w:tcPr>
          <w:p w14:paraId="50BD46C2" w14:textId="77777777" w:rsidR="00940546" w:rsidRPr="00C3144A" w:rsidRDefault="00940546" w:rsidP="00C3144A">
            <w:pPr>
              <w:pStyle w:val="TableParagraph"/>
              <w:spacing w:before="22" w:line="360" w:lineRule="auto"/>
              <w:ind w:left="374" w:right="360"/>
              <w:jc w:val="both"/>
              <w:rPr>
                <w:sz w:val="20"/>
                <w:szCs w:val="20"/>
              </w:rPr>
            </w:pPr>
            <w:proofErr w:type="spellStart"/>
            <w:r w:rsidRPr="00C3144A">
              <w:rPr>
                <w:sz w:val="20"/>
                <w:szCs w:val="20"/>
              </w:rPr>
              <w:t>μV</w:t>
            </w:r>
            <w:proofErr w:type="spellEnd"/>
          </w:p>
        </w:tc>
      </w:tr>
      <w:tr w:rsidR="00940546" w:rsidRPr="00C3144A" w14:paraId="50301BE2" w14:textId="77777777" w:rsidTr="00750DB7">
        <w:trPr>
          <w:trHeight w:val="277"/>
        </w:trPr>
        <w:tc>
          <w:tcPr>
            <w:tcW w:w="9977" w:type="dxa"/>
            <w:gridSpan w:val="6"/>
          </w:tcPr>
          <w:p w14:paraId="0ED65964" w14:textId="77777777" w:rsidR="00940546" w:rsidRPr="00C3144A" w:rsidRDefault="00940546" w:rsidP="00C3144A">
            <w:pPr>
              <w:pStyle w:val="TableParagraph"/>
              <w:spacing w:before="22" w:line="360" w:lineRule="auto"/>
              <w:jc w:val="both"/>
              <w:rPr>
                <w:sz w:val="20"/>
                <w:szCs w:val="20"/>
              </w:rPr>
            </w:pPr>
            <w:r w:rsidRPr="00C3144A">
              <w:rPr>
                <w:sz w:val="20"/>
                <w:szCs w:val="20"/>
              </w:rPr>
              <w:t>Ulnaris Anti (Sinistra)</w:t>
            </w:r>
          </w:p>
        </w:tc>
      </w:tr>
      <w:tr w:rsidR="00940546" w:rsidRPr="00C3144A" w14:paraId="74F16CC4" w14:textId="77777777" w:rsidTr="00750DB7">
        <w:trPr>
          <w:trHeight w:val="322"/>
        </w:trPr>
        <w:tc>
          <w:tcPr>
            <w:tcW w:w="3118" w:type="dxa"/>
          </w:tcPr>
          <w:p w14:paraId="60AA7CAC" w14:textId="77777777" w:rsidR="00940546" w:rsidRPr="00C3144A" w:rsidRDefault="00940546" w:rsidP="00C3144A">
            <w:pPr>
              <w:pStyle w:val="TableParagraph"/>
              <w:spacing w:before="21" w:line="360" w:lineRule="auto"/>
              <w:jc w:val="both"/>
              <w:rPr>
                <w:sz w:val="20"/>
                <w:szCs w:val="20"/>
              </w:rPr>
            </w:pPr>
            <w:r w:rsidRPr="00C3144A">
              <w:rPr>
                <w:sz w:val="20"/>
                <w:szCs w:val="20"/>
              </w:rPr>
              <w:t>Wrist – Digit V</w:t>
            </w:r>
          </w:p>
        </w:tc>
        <w:tc>
          <w:tcPr>
            <w:tcW w:w="872" w:type="dxa"/>
          </w:tcPr>
          <w:p w14:paraId="077DCEF2" w14:textId="77777777" w:rsidR="00940546" w:rsidRPr="00C3144A" w:rsidRDefault="00940546" w:rsidP="00C3144A">
            <w:pPr>
              <w:pStyle w:val="TableParagraph"/>
              <w:spacing w:before="44" w:line="360" w:lineRule="auto"/>
              <w:jc w:val="both"/>
              <w:rPr>
                <w:sz w:val="20"/>
                <w:szCs w:val="20"/>
              </w:rPr>
            </w:pPr>
            <w:r w:rsidRPr="00C3144A">
              <w:rPr>
                <w:w w:val="99"/>
                <w:sz w:val="20"/>
                <w:szCs w:val="20"/>
              </w:rPr>
              <w:t>0</w:t>
            </w:r>
          </w:p>
        </w:tc>
        <w:tc>
          <w:tcPr>
            <w:tcW w:w="1506" w:type="dxa"/>
          </w:tcPr>
          <w:p w14:paraId="0078C214" w14:textId="77777777" w:rsidR="00940546" w:rsidRPr="00C3144A" w:rsidRDefault="00940546" w:rsidP="00C3144A">
            <w:pPr>
              <w:pStyle w:val="TableParagraph"/>
              <w:spacing w:before="44" w:line="360" w:lineRule="auto"/>
              <w:ind w:left="355" w:right="334"/>
              <w:jc w:val="both"/>
              <w:rPr>
                <w:sz w:val="20"/>
                <w:szCs w:val="20"/>
              </w:rPr>
            </w:pPr>
            <w:r w:rsidRPr="00C3144A">
              <w:rPr>
                <w:sz w:val="20"/>
                <w:szCs w:val="20"/>
              </w:rPr>
              <w:t>***</w:t>
            </w:r>
          </w:p>
        </w:tc>
        <w:tc>
          <w:tcPr>
            <w:tcW w:w="1928" w:type="dxa"/>
          </w:tcPr>
          <w:p w14:paraId="33BA3A87" w14:textId="77777777" w:rsidR="00940546" w:rsidRPr="00C3144A" w:rsidRDefault="00940546" w:rsidP="00C3144A">
            <w:pPr>
              <w:pStyle w:val="TableParagraph"/>
              <w:spacing w:before="44" w:line="360" w:lineRule="auto"/>
              <w:ind w:left="443" w:right="426"/>
              <w:jc w:val="both"/>
              <w:rPr>
                <w:sz w:val="20"/>
                <w:szCs w:val="20"/>
              </w:rPr>
            </w:pPr>
            <w:r w:rsidRPr="00C3144A">
              <w:rPr>
                <w:sz w:val="20"/>
                <w:szCs w:val="20"/>
              </w:rPr>
              <w:t>***</w:t>
            </w:r>
          </w:p>
        </w:tc>
        <w:tc>
          <w:tcPr>
            <w:tcW w:w="973" w:type="dxa"/>
          </w:tcPr>
          <w:p w14:paraId="0A642EE7" w14:textId="77777777" w:rsidR="00940546" w:rsidRPr="00C3144A" w:rsidRDefault="00940546" w:rsidP="00C3144A">
            <w:pPr>
              <w:pStyle w:val="TableParagraph"/>
              <w:spacing w:before="44" w:line="360" w:lineRule="auto"/>
              <w:ind w:left="278" w:right="261"/>
              <w:jc w:val="both"/>
              <w:rPr>
                <w:sz w:val="20"/>
                <w:szCs w:val="20"/>
              </w:rPr>
            </w:pPr>
            <w:r w:rsidRPr="00C3144A">
              <w:rPr>
                <w:sz w:val="20"/>
                <w:szCs w:val="20"/>
              </w:rPr>
              <w:t>***</w:t>
            </w:r>
          </w:p>
        </w:tc>
        <w:tc>
          <w:tcPr>
            <w:tcW w:w="1580" w:type="dxa"/>
          </w:tcPr>
          <w:p w14:paraId="40681B70" w14:textId="77777777" w:rsidR="00940546" w:rsidRPr="00C3144A" w:rsidRDefault="00940546" w:rsidP="00C3144A">
            <w:pPr>
              <w:pStyle w:val="TableParagraph"/>
              <w:spacing w:before="0" w:line="360" w:lineRule="auto"/>
              <w:ind w:left="0"/>
              <w:jc w:val="both"/>
              <w:rPr>
                <w:sz w:val="20"/>
                <w:szCs w:val="20"/>
              </w:rPr>
            </w:pPr>
          </w:p>
        </w:tc>
      </w:tr>
      <w:tr w:rsidR="00940546" w:rsidRPr="00C3144A" w14:paraId="6477A6E0" w14:textId="77777777" w:rsidTr="00750DB7">
        <w:trPr>
          <w:trHeight w:val="277"/>
        </w:trPr>
        <w:tc>
          <w:tcPr>
            <w:tcW w:w="9977" w:type="dxa"/>
            <w:gridSpan w:val="6"/>
          </w:tcPr>
          <w:p w14:paraId="6CE691E3" w14:textId="77777777" w:rsidR="00940546" w:rsidRPr="00C3144A" w:rsidRDefault="00940546" w:rsidP="00C3144A">
            <w:pPr>
              <w:pStyle w:val="TableParagraph"/>
              <w:spacing w:before="22" w:line="360" w:lineRule="auto"/>
              <w:jc w:val="both"/>
              <w:rPr>
                <w:sz w:val="20"/>
                <w:szCs w:val="20"/>
              </w:rPr>
            </w:pPr>
            <w:proofErr w:type="spellStart"/>
            <w:r w:rsidRPr="00C3144A">
              <w:rPr>
                <w:sz w:val="20"/>
                <w:szCs w:val="20"/>
              </w:rPr>
              <w:t>Medianus</w:t>
            </w:r>
            <w:proofErr w:type="spellEnd"/>
            <w:r w:rsidRPr="00C3144A">
              <w:rPr>
                <w:sz w:val="20"/>
                <w:szCs w:val="20"/>
              </w:rPr>
              <w:t xml:space="preserve"> Anti (</w:t>
            </w:r>
            <w:proofErr w:type="spellStart"/>
            <w:r w:rsidRPr="00C3144A">
              <w:rPr>
                <w:sz w:val="20"/>
                <w:szCs w:val="20"/>
              </w:rPr>
              <w:t>Sinistra</w:t>
            </w:r>
            <w:proofErr w:type="spellEnd"/>
            <w:r w:rsidRPr="00C3144A">
              <w:rPr>
                <w:sz w:val="20"/>
                <w:szCs w:val="20"/>
              </w:rPr>
              <w:t>)</w:t>
            </w:r>
          </w:p>
        </w:tc>
      </w:tr>
      <w:tr w:rsidR="00940546" w:rsidRPr="00C3144A" w14:paraId="05A550DE" w14:textId="77777777" w:rsidTr="00750DB7">
        <w:trPr>
          <w:trHeight w:val="320"/>
        </w:trPr>
        <w:tc>
          <w:tcPr>
            <w:tcW w:w="3118" w:type="dxa"/>
          </w:tcPr>
          <w:p w14:paraId="5D49D17D" w14:textId="77777777" w:rsidR="00940546" w:rsidRPr="00C3144A" w:rsidRDefault="00940546" w:rsidP="00C3144A">
            <w:pPr>
              <w:pStyle w:val="TableParagraph"/>
              <w:spacing w:before="21" w:line="360" w:lineRule="auto"/>
              <w:jc w:val="both"/>
              <w:rPr>
                <w:sz w:val="20"/>
                <w:szCs w:val="20"/>
              </w:rPr>
            </w:pPr>
            <w:r w:rsidRPr="00C3144A">
              <w:rPr>
                <w:sz w:val="20"/>
                <w:szCs w:val="20"/>
              </w:rPr>
              <w:t>Wrist – Digit II</w:t>
            </w:r>
          </w:p>
        </w:tc>
        <w:tc>
          <w:tcPr>
            <w:tcW w:w="872" w:type="dxa"/>
          </w:tcPr>
          <w:p w14:paraId="73F69ABF" w14:textId="77777777" w:rsidR="00940546" w:rsidRPr="00C3144A" w:rsidRDefault="00940546" w:rsidP="00C3144A">
            <w:pPr>
              <w:pStyle w:val="TableParagraph"/>
              <w:spacing w:before="44" w:line="360" w:lineRule="auto"/>
              <w:jc w:val="both"/>
              <w:rPr>
                <w:sz w:val="20"/>
                <w:szCs w:val="20"/>
              </w:rPr>
            </w:pPr>
            <w:r w:rsidRPr="00C3144A">
              <w:rPr>
                <w:w w:val="99"/>
                <w:sz w:val="20"/>
                <w:szCs w:val="20"/>
              </w:rPr>
              <w:t>0</w:t>
            </w:r>
          </w:p>
        </w:tc>
        <w:tc>
          <w:tcPr>
            <w:tcW w:w="1506" w:type="dxa"/>
          </w:tcPr>
          <w:p w14:paraId="569B98A2" w14:textId="77777777" w:rsidR="00940546" w:rsidRPr="00C3144A" w:rsidRDefault="00940546" w:rsidP="00C3144A">
            <w:pPr>
              <w:pStyle w:val="TableParagraph"/>
              <w:spacing w:before="44" w:line="360" w:lineRule="auto"/>
              <w:ind w:left="355" w:right="334"/>
              <w:jc w:val="both"/>
              <w:rPr>
                <w:sz w:val="20"/>
                <w:szCs w:val="20"/>
              </w:rPr>
            </w:pPr>
            <w:r w:rsidRPr="00C3144A">
              <w:rPr>
                <w:sz w:val="20"/>
                <w:szCs w:val="20"/>
              </w:rPr>
              <w:t>***</w:t>
            </w:r>
          </w:p>
        </w:tc>
        <w:tc>
          <w:tcPr>
            <w:tcW w:w="1928" w:type="dxa"/>
          </w:tcPr>
          <w:p w14:paraId="2A3B5372" w14:textId="77777777" w:rsidR="00940546" w:rsidRPr="00C3144A" w:rsidRDefault="00940546" w:rsidP="00C3144A">
            <w:pPr>
              <w:pStyle w:val="TableParagraph"/>
              <w:spacing w:before="44" w:line="360" w:lineRule="auto"/>
              <w:ind w:left="443" w:right="426"/>
              <w:jc w:val="both"/>
              <w:rPr>
                <w:sz w:val="20"/>
                <w:szCs w:val="20"/>
              </w:rPr>
            </w:pPr>
            <w:r w:rsidRPr="00C3144A">
              <w:rPr>
                <w:sz w:val="20"/>
                <w:szCs w:val="20"/>
              </w:rPr>
              <w:t>***</w:t>
            </w:r>
          </w:p>
        </w:tc>
        <w:tc>
          <w:tcPr>
            <w:tcW w:w="973" w:type="dxa"/>
          </w:tcPr>
          <w:p w14:paraId="40FD1907" w14:textId="77777777" w:rsidR="00940546" w:rsidRPr="00C3144A" w:rsidRDefault="00940546" w:rsidP="00C3144A">
            <w:pPr>
              <w:pStyle w:val="TableParagraph"/>
              <w:spacing w:before="44" w:line="360" w:lineRule="auto"/>
              <w:ind w:left="278" w:right="261"/>
              <w:jc w:val="both"/>
              <w:rPr>
                <w:sz w:val="20"/>
                <w:szCs w:val="20"/>
              </w:rPr>
            </w:pPr>
            <w:r w:rsidRPr="00C3144A">
              <w:rPr>
                <w:sz w:val="20"/>
                <w:szCs w:val="20"/>
              </w:rPr>
              <w:t>***</w:t>
            </w:r>
          </w:p>
        </w:tc>
        <w:tc>
          <w:tcPr>
            <w:tcW w:w="1580" w:type="dxa"/>
          </w:tcPr>
          <w:p w14:paraId="48B5E880" w14:textId="77777777" w:rsidR="00940546" w:rsidRPr="00C3144A" w:rsidRDefault="00940546" w:rsidP="00C3144A">
            <w:pPr>
              <w:pStyle w:val="TableParagraph"/>
              <w:spacing w:before="44" w:line="360" w:lineRule="auto"/>
              <w:ind w:left="374" w:right="359"/>
              <w:jc w:val="both"/>
              <w:rPr>
                <w:sz w:val="20"/>
                <w:szCs w:val="20"/>
              </w:rPr>
            </w:pPr>
            <w:r w:rsidRPr="00C3144A">
              <w:rPr>
                <w:sz w:val="20"/>
                <w:szCs w:val="20"/>
              </w:rPr>
              <w:t>***</w:t>
            </w:r>
          </w:p>
        </w:tc>
      </w:tr>
      <w:tr w:rsidR="00940546" w:rsidRPr="00C3144A" w14:paraId="78C6C16A" w14:textId="77777777" w:rsidTr="00750DB7">
        <w:trPr>
          <w:trHeight w:val="277"/>
        </w:trPr>
        <w:tc>
          <w:tcPr>
            <w:tcW w:w="9977" w:type="dxa"/>
            <w:gridSpan w:val="6"/>
          </w:tcPr>
          <w:p w14:paraId="321C0A60" w14:textId="77777777" w:rsidR="00940546" w:rsidRPr="00C3144A" w:rsidRDefault="00940546" w:rsidP="00C3144A">
            <w:pPr>
              <w:pStyle w:val="TableParagraph"/>
              <w:spacing w:before="22" w:line="360" w:lineRule="auto"/>
              <w:jc w:val="both"/>
              <w:rPr>
                <w:sz w:val="20"/>
                <w:szCs w:val="20"/>
              </w:rPr>
            </w:pPr>
            <w:proofErr w:type="spellStart"/>
            <w:r w:rsidRPr="00C3144A">
              <w:rPr>
                <w:sz w:val="20"/>
                <w:szCs w:val="20"/>
              </w:rPr>
              <w:t>Suralis</w:t>
            </w:r>
            <w:proofErr w:type="spellEnd"/>
            <w:r w:rsidRPr="00C3144A">
              <w:rPr>
                <w:sz w:val="20"/>
                <w:szCs w:val="20"/>
              </w:rPr>
              <w:t xml:space="preserve"> Anti (</w:t>
            </w:r>
            <w:proofErr w:type="spellStart"/>
            <w:r w:rsidRPr="00C3144A">
              <w:rPr>
                <w:sz w:val="20"/>
                <w:szCs w:val="20"/>
              </w:rPr>
              <w:t>Sinistra</w:t>
            </w:r>
            <w:proofErr w:type="spellEnd"/>
            <w:r w:rsidRPr="00C3144A">
              <w:rPr>
                <w:sz w:val="20"/>
                <w:szCs w:val="20"/>
              </w:rPr>
              <w:t>)</w:t>
            </w:r>
          </w:p>
        </w:tc>
      </w:tr>
      <w:tr w:rsidR="00940546" w:rsidRPr="00C3144A" w14:paraId="7590E8C2" w14:textId="77777777" w:rsidTr="00750DB7">
        <w:trPr>
          <w:trHeight w:val="322"/>
        </w:trPr>
        <w:tc>
          <w:tcPr>
            <w:tcW w:w="3118" w:type="dxa"/>
          </w:tcPr>
          <w:p w14:paraId="7BF6F6B7" w14:textId="77777777" w:rsidR="00940546" w:rsidRPr="00C3144A" w:rsidRDefault="00940546" w:rsidP="00C3144A">
            <w:pPr>
              <w:pStyle w:val="TableParagraph"/>
              <w:spacing w:before="21" w:line="360" w:lineRule="auto"/>
              <w:jc w:val="both"/>
              <w:rPr>
                <w:sz w:val="20"/>
                <w:szCs w:val="20"/>
              </w:rPr>
            </w:pPr>
            <w:r w:rsidRPr="00C3144A">
              <w:rPr>
                <w:sz w:val="20"/>
                <w:szCs w:val="20"/>
              </w:rPr>
              <w:t xml:space="preserve">Calf - </w:t>
            </w:r>
            <w:proofErr w:type="spellStart"/>
            <w:r w:rsidRPr="00C3144A">
              <w:rPr>
                <w:sz w:val="20"/>
                <w:szCs w:val="20"/>
              </w:rPr>
              <w:t>Malleolo</w:t>
            </w:r>
            <w:proofErr w:type="spellEnd"/>
            <w:r w:rsidRPr="00C3144A">
              <w:rPr>
                <w:sz w:val="20"/>
                <w:szCs w:val="20"/>
              </w:rPr>
              <w:t xml:space="preserve"> </w:t>
            </w:r>
            <w:proofErr w:type="spellStart"/>
            <w:r w:rsidRPr="00C3144A">
              <w:rPr>
                <w:sz w:val="20"/>
                <w:szCs w:val="20"/>
              </w:rPr>
              <w:t>Lat</w:t>
            </w:r>
            <w:proofErr w:type="spellEnd"/>
          </w:p>
        </w:tc>
        <w:tc>
          <w:tcPr>
            <w:tcW w:w="872" w:type="dxa"/>
          </w:tcPr>
          <w:p w14:paraId="4C63CA62" w14:textId="77777777" w:rsidR="00940546" w:rsidRPr="00C3144A" w:rsidRDefault="00940546" w:rsidP="00C3144A">
            <w:pPr>
              <w:pStyle w:val="TableParagraph"/>
              <w:spacing w:before="44" w:line="360" w:lineRule="auto"/>
              <w:ind w:left="215" w:right="192"/>
              <w:jc w:val="both"/>
              <w:rPr>
                <w:sz w:val="20"/>
                <w:szCs w:val="20"/>
              </w:rPr>
            </w:pPr>
            <w:r w:rsidRPr="00C3144A">
              <w:rPr>
                <w:sz w:val="20"/>
                <w:szCs w:val="20"/>
              </w:rPr>
              <w:t>130</w:t>
            </w:r>
          </w:p>
        </w:tc>
        <w:tc>
          <w:tcPr>
            <w:tcW w:w="1506" w:type="dxa"/>
          </w:tcPr>
          <w:p w14:paraId="2B57EDD7" w14:textId="77777777" w:rsidR="00940546" w:rsidRPr="00C3144A" w:rsidRDefault="00940546" w:rsidP="00C3144A">
            <w:pPr>
              <w:pStyle w:val="TableParagraph"/>
              <w:spacing w:before="44" w:line="360" w:lineRule="auto"/>
              <w:ind w:left="355" w:right="334"/>
              <w:jc w:val="both"/>
              <w:rPr>
                <w:sz w:val="20"/>
                <w:szCs w:val="20"/>
              </w:rPr>
            </w:pPr>
            <w:r w:rsidRPr="00C3144A">
              <w:rPr>
                <w:sz w:val="20"/>
                <w:szCs w:val="20"/>
              </w:rPr>
              <w:t>2,5</w:t>
            </w:r>
          </w:p>
        </w:tc>
        <w:tc>
          <w:tcPr>
            <w:tcW w:w="1928" w:type="dxa"/>
          </w:tcPr>
          <w:p w14:paraId="674C1B95" w14:textId="77777777" w:rsidR="00940546" w:rsidRPr="00C3144A" w:rsidRDefault="00940546" w:rsidP="00C3144A">
            <w:pPr>
              <w:pStyle w:val="TableParagraph"/>
              <w:spacing w:before="44" w:line="360" w:lineRule="auto"/>
              <w:ind w:left="443" w:right="426"/>
              <w:jc w:val="both"/>
              <w:rPr>
                <w:sz w:val="20"/>
                <w:szCs w:val="20"/>
              </w:rPr>
            </w:pPr>
            <w:r w:rsidRPr="00C3144A">
              <w:rPr>
                <w:sz w:val="20"/>
                <w:szCs w:val="20"/>
              </w:rPr>
              <w:t>3,6</w:t>
            </w:r>
          </w:p>
        </w:tc>
        <w:tc>
          <w:tcPr>
            <w:tcW w:w="973" w:type="dxa"/>
          </w:tcPr>
          <w:p w14:paraId="6DCB1218" w14:textId="77777777" w:rsidR="00940546" w:rsidRPr="00C3144A" w:rsidRDefault="00940546" w:rsidP="00C3144A">
            <w:pPr>
              <w:pStyle w:val="TableParagraph"/>
              <w:spacing w:before="44" w:line="360" w:lineRule="auto"/>
              <w:ind w:left="278" w:right="266"/>
              <w:jc w:val="both"/>
              <w:rPr>
                <w:sz w:val="20"/>
                <w:szCs w:val="20"/>
              </w:rPr>
            </w:pPr>
            <w:r w:rsidRPr="00C3144A">
              <w:rPr>
                <w:sz w:val="20"/>
                <w:szCs w:val="20"/>
              </w:rPr>
              <w:t>51,5</w:t>
            </w:r>
          </w:p>
        </w:tc>
        <w:tc>
          <w:tcPr>
            <w:tcW w:w="1580" w:type="dxa"/>
          </w:tcPr>
          <w:p w14:paraId="2282234C" w14:textId="77777777" w:rsidR="00940546" w:rsidRPr="00C3144A" w:rsidRDefault="00940546" w:rsidP="00C3144A">
            <w:pPr>
              <w:pStyle w:val="TableParagraph"/>
              <w:spacing w:before="44" w:line="360" w:lineRule="auto"/>
              <w:ind w:left="374" w:right="361"/>
              <w:jc w:val="both"/>
              <w:rPr>
                <w:sz w:val="20"/>
                <w:szCs w:val="20"/>
              </w:rPr>
            </w:pPr>
            <w:r w:rsidRPr="00C3144A">
              <w:rPr>
                <w:sz w:val="20"/>
                <w:szCs w:val="20"/>
              </w:rPr>
              <w:t>4,6</w:t>
            </w:r>
          </w:p>
        </w:tc>
      </w:tr>
    </w:tbl>
    <w:p w14:paraId="533E45A0" w14:textId="77777777" w:rsidR="00940546" w:rsidRPr="00C3144A" w:rsidRDefault="00940546" w:rsidP="00C3144A">
      <w:pPr>
        <w:spacing w:line="360" w:lineRule="auto"/>
        <w:jc w:val="both"/>
        <w:rPr>
          <w:sz w:val="20"/>
          <w:szCs w:val="20"/>
        </w:rPr>
        <w:sectPr w:rsidR="00940546" w:rsidRPr="00C3144A">
          <w:pgSz w:w="12240" w:h="15840"/>
          <w:pgMar w:top="1060" w:right="1000" w:bottom="280" w:left="1020" w:header="720" w:footer="720" w:gutter="0"/>
          <w:cols w:space="720"/>
        </w:sectPr>
      </w:pPr>
    </w:p>
    <w:p w14:paraId="7B148BC0" w14:textId="618112E1" w:rsidR="00940546" w:rsidRPr="00C3144A" w:rsidRDefault="00515173" w:rsidP="00020A36">
      <w:pPr>
        <w:spacing w:line="360" w:lineRule="auto"/>
        <w:ind w:left="115"/>
        <w:jc w:val="both"/>
        <w:rPr>
          <w:b/>
          <w:sz w:val="20"/>
          <w:szCs w:val="20"/>
        </w:rPr>
      </w:pPr>
      <w:r w:rsidRPr="007178EF">
        <w:rPr>
          <w:b/>
          <w:sz w:val="20"/>
          <w:szCs w:val="20"/>
          <w:highlight w:val="yellow"/>
        </w:rPr>
        <w:lastRenderedPageBreak/>
        <w:t xml:space="preserve">Figures </w:t>
      </w:r>
      <w:r>
        <w:rPr>
          <w:b/>
          <w:sz w:val="20"/>
          <w:szCs w:val="20"/>
          <w:highlight w:val="yellow"/>
        </w:rPr>
        <w:t>10</w:t>
      </w:r>
      <w:r w:rsidRPr="007178EF">
        <w:rPr>
          <w:b/>
          <w:sz w:val="20"/>
          <w:szCs w:val="20"/>
          <w:highlight w:val="yellow"/>
        </w:rPr>
        <w:t xml:space="preserve">, </w:t>
      </w:r>
      <w:r>
        <w:rPr>
          <w:b/>
          <w:sz w:val="20"/>
          <w:szCs w:val="20"/>
          <w:highlight w:val="yellow"/>
        </w:rPr>
        <w:t xml:space="preserve">11 </w:t>
      </w:r>
      <w:r w:rsidRPr="007178EF">
        <w:rPr>
          <w:b/>
          <w:sz w:val="20"/>
          <w:szCs w:val="20"/>
          <w:highlight w:val="yellow"/>
        </w:rPr>
        <w:t xml:space="preserve">and </w:t>
      </w:r>
      <w:r>
        <w:rPr>
          <w:b/>
          <w:sz w:val="20"/>
          <w:szCs w:val="20"/>
          <w:highlight w:val="yellow"/>
        </w:rPr>
        <w:t>12</w:t>
      </w:r>
      <w:r w:rsidRPr="007178EF">
        <w:rPr>
          <w:b/>
          <w:sz w:val="20"/>
          <w:szCs w:val="20"/>
          <w:highlight w:val="yellow"/>
        </w:rPr>
        <w:t xml:space="preserve"> Insert Here</w:t>
      </w:r>
    </w:p>
    <w:p w14:paraId="5E424D91" w14:textId="77777777" w:rsidR="00940546" w:rsidRPr="00C3144A" w:rsidRDefault="00940546" w:rsidP="00C3144A">
      <w:pPr>
        <w:pStyle w:val="BodyText"/>
        <w:spacing w:line="360" w:lineRule="auto"/>
        <w:jc w:val="both"/>
        <w:rPr>
          <w:b/>
          <w:sz w:val="20"/>
          <w:szCs w:val="20"/>
        </w:rPr>
      </w:pPr>
    </w:p>
    <w:p w14:paraId="30A6A797" w14:textId="77777777" w:rsidR="00940546" w:rsidRPr="00C3144A" w:rsidRDefault="00940546" w:rsidP="00C3144A">
      <w:pPr>
        <w:pStyle w:val="BodyText"/>
        <w:spacing w:before="5" w:line="360" w:lineRule="auto"/>
        <w:jc w:val="both"/>
        <w:rPr>
          <w:b/>
          <w:sz w:val="20"/>
          <w:szCs w:val="20"/>
        </w:rPr>
      </w:pPr>
    </w:p>
    <w:p w14:paraId="047825A0" w14:textId="247777B6" w:rsidR="00940546" w:rsidRDefault="00940546" w:rsidP="00C3144A">
      <w:pPr>
        <w:pStyle w:val="BodyText"/>
        <w:spacing w:line="360" w:lineRule="auto"/>
        <w:ind w:left="115" w:right="131"/>
        <w:jc w:val="both"/>
        <w:rPr>
          <w:sz w:val="20"/>
          <w:szCs w:val="20"/>
        </w:rPr>
      </w:pPr>
      <w:r w:rsidRPr="00C3144A">
        <w:rPr>
          <w:color w:val="202020"/>
          <w:sz w:val="20"/>
          <w:szCs w:val="20"/>
        </w:rPr>
        <w:t xml:space="preserve">Often treatment-related fluctuation (TRF) required repeated IVIg treatment (about 10% of GBS patients have a secondary deterioration within the first 8 weeks after start of IVIg </w:t>
      </w:r>
      <w:r w:rsidR="00DE59D5">
        <w:rPr>
          <w:color w:val="202020"/>
          <w:sz w:val="20"/>
          <w:szCs w:val="20"/>
        </w:rPr>
        <w:t>[</w:t>
      </w:r>
      <w:r w:rsidRPr="00C3144A">
        <w:rPr>
          <w:color w:val="202020"/>
          <w:sz w:val="20"/>
          <w:szCs w:val="20"/>
        </w:rPr>
        <w:t>30</w:t>
      </w:r>
      <w:r w:rsidR="00DE59D5">
        <w:rPr>
          <w:color w:val="202020"/>
          <w:sz w:val="20"/>
          <w:szCs w:val="20"/>
        </w:rPr>
        <w:t>]</w:t>
      </w:r>
      <w:r w:rsidRPr="00C3144A">
        <w:rPr>
          <w:color w:val="202020"/>
          <w:sz w:val="20"/>
          <w:szCs w:val="20"/>
        </w:rPr>
        <w:t xml:space="preserve">). </w:t>
      </w:r>
      <w:r w:rsidRPr="00C3144A">
        <w:rPr>
          <w:sz w:val="20"/>
          <w:szCs w:val="20"/>
        </w:rPr>
        <w:t xml:space="preserve">Despite uncertain benefit and </w:t>
      </w:r>
      <w:proofErr w:type="spellStart"/>
      <w:r w:rsidRPr="00C3144A">
        <w:rPr>
          <w:sz w:val="20"/>
          <w:szCs w:val="20"/>
        </w:rPr>
        <w:t>and</w:t>
      </w:r>
      <w:proofErr w:type="spellEnd"/>
      <w:r w:rsidRPr="00C3144A">
        <w:rPr>
          <w:sz w:val="20"/>
          <w:szCs w:val="20"/>
        </w:rPr>
        <w:t xml:space="preserve"> the evidence of recent literature </w:t>
      </w:r>
      <w:r w:rsidR="00DE59D5">
        <w:rPr>
          <w:sz w:val="20"/>
          <w:szCs w:val="20"/>
        </w:rPr>
        <w:t>[</w:t>
      </w:r>
      <w:r w:rsidRPr="00C3144A">
        <w:rPr>
          <w:sz w:val="20"/>
          <w:szCs w:val="20"/>
        </w:rPr>
        <w:t>37</w:t>
      </w:r>
      <w:r w:rsidR="00DE59D5">
        <w:rPr>
          <w:sz w:val="20"/>
          <w:szCs w:val="20"/>
        </w:rPr>
        <w:t>]</w:t>
      </w:r>
      <w:r w:rsidRPr="00C3144A">
        <w:rPr>
          <w:sz w:val="20"/>
          <w:szCs w:val="20"/>
        </w:rPr>
        <w:t>, we too have decided to administer a second dose of immunoglobulins (0.4 g/kg/day for 5 days).</w:t>
      </w:r>
    </w:p>
    <w:p w14:paraId="39B40945" w14:textId="77777777" w:rsidR="002F028F" w:rsidRPr="00C3144A" w:rsidRDefault="002F028F" w:rsidP="00C3144A">
      <w:pPr>
        <w:pStyle w:val="BodyText"/>
        <w:spacing w:line="360" w:lineRule="auto"/>
        <w:ind w:left="115" w:right="131"/>
        <w:jc w:val="both"/>
        <w:rPr>
          <w:sz w:val="20"/>
          <w:szCs w:val="20"/>
        </w:rPr>
      </w:pPr>
    </w:p>
    <w:p w14:paraId="10480F78" w14:textId="77777777" w:rsidR="00940546" w:rsidRPr="00C3144A" w:rsidRDefault="00940546" w:rsidP="00C3144A">
      <w:pPr>
        <w:pStyle w:val="BodyText"/>
        <w:spacing w:line="360" w:lineRule="auto"/>
        <w:ind w:left="115" w:right="131"/>
        <w:jc w:val="both"/>
        <w:rPr>
          <w:sz w:val="20"/>
          <w:szCs w:val="20"/>
        </w:rPr>
      </w:pPr>
      <w:r w:rsidRPr="00C3144A">
        <w:rPr>
          <w:sz w:val="20"/>
          <w:szCs w:val="20"/>
        </w:rPr>
        <w:t>There was a subsequent gradual new recovery. To date, the patient is able to walk with stepping gait bilaterally but autonomously without support for at least ten meters. MRC sum score: 56/60. GBS disability scale: 2. An electrophysiological study performed three and a half months after the onset showed a slight neurophysiological improvement.</w:t>
      </w:r>
    </w:p>
    <w:p w14:paraId="378625BE" w14:textId="535EDB42" w:rsidR="00940546" w:rsidRDefault="00940546" w:rsidP="00C3144A">
      <w:pPr>
        <w:pStyle w:val="BodyText"/>
        <w:spacing w:line="360" w:lineRule="auto"/>
        <w:ind w:left="115"/>
        <w:jc w:val="both"/>
        <w:rPr>
          <w:sz w:val="20"/>
          <w:szCs w:val="20"/>
        </w:rPr>
      </w:pPr>
      <w:r w:rsidRPr="00C3144A">
        <w:rPr>
          <w:sz w:val="20"/>
          <w:szCs w:val="20"/>
        </w:rPr>
        <w:t>She never developed respiratory failure or autonomic dysfunctions</w:t>
      </w:r>
      <w:r w:rsidR="00174294">
        <w:rPr>
          <w:sz w:val="20"/>
          <w:szCs w:val="20"/>
        </w:rPr>
        <w:t>.</w:t>
      </w:r>
    </w:p>
    <w:p w14:paraId="6F6AF31B" w14:textId="74FD3ABB" w:rsidR="00DE59D5" w:rsidRDefault="00DE59D5" w:rsidP="00C3144A">
      <w:pPr>
        <w:pStyle w:val="BodyText"/>
        <w:spacing w:line="360" w:lineRule="auto"/>
        <w:ind w:left="115"/>
        <w:jc w:val="both"/>
        <w:rPr>
          <w:sz w:val="20"/>
          <w:szCs w:val="20"/>
        </w:rPr>
      </w:pPr>
    </w:p>
    <w:p w14:paraId="31C315BD" w14:textId="2A0B464F" w:rsidR="00DE59D5" w:rsidRPr="00DE59D5" w:rsidRDefault="00DE59D5" w:rsidP="00C3144A">
      <w:pPr>
        <w:pStyle w:val="BodyText"/>
        <w:spacing w:line="360" w:lineRule="auto"/>
        <w:ind w:left="115"/>
        <w:jc w:val="both"/>
        <w:rPr>
          <w:b/>
          <w:bCs/>
          <w:sz w:val="20"/>
          <w:szCs w:val="20"/>
        </w:rPr>
      </w:pPr>
    </w:p>
    <w:tbl>
      <w:tblPr>
        <w:tblW w:w="0" w:type="auto"/>
        <w:tblInd w:w="135" w:type="dxa"/>
        <w:tblBorders>
          <w:top w:val="single" w:sz="12" w:space="0" w:color="CDCDCD"/>
          <w:left w:val="single" w:sz="12" w:space="0" w:color="CDCDCD"/>
          <w:bottom w:val="single" w:sz="12" w:space="0" w:color="CDCDCD"/>
          <w:right w:val="single" w:sz="12" w:space="0" w:color="CDCDCD"/>
          <w:insideH w:val="single" w:sz="12" w:space="0" w:color="CDCDCD"/>
          <w:insideV w:val="single" w:sz="12" w:space="0" w:color="CDCDCD"/>
        </w:tblBorders>
        <w:tblLayout w:type="fixed"/>
        <w:tblCellMar>
          <w:left w:w="0" w:type="dxa"/>
          <w:right w:w="0" w:type="dxa"/>
        </w:tblCellMar>
        <w:tblLook w:val="01E0" w:firstRow="1" w:lastRow="1" w:firstColumn="1" w:lastColumn="1" w:noHBand="0" w:noVBand="0"/>
      </w:tblPr>
      <w:tblGrid>
        <w:gridCol w:w="2405"/>
        <w:gridCol w:w="1011"/>
        <w:gridCol w:w="1162"/>
        <w:gridCol w:w="1695"/>
        <w:gridCol w:w="1337"/>
        <w:gridCol w:w="977"/>
        <w:gridCol w:w="1387"/>
      </w:tblGrid>
      <w:tr w:rsidR="00940546" w:rsidRPr="00C3144A" w14:paraId="522FCAC2" w14:textId="77777777" w:rsidTr="00750DB7">
        <w:trPr>
          <w:trHeight w:val="274"/>
        </w:trPr>
        <w:tc>
          <w:tcPr>
            <w:tcW w:w="2405" w:type="dxa"/>
          </w:tcPr>
          <w:p w14:paraId="5634DBA6" w14:textId="77777777" w:rsidR="00940546" w:rsidRPr="00C3144A" w:rsidRDefault="00940546" w:rsidP="00C3144A">
            <w:pPr>
              <w:pStyle w:val="TableParagraph"/>
              <w:spacing w:before="15" w:line="360" w:lineRule="auto"/>
              <w:jc w:val="both"/>
              <w:rPr>
                <w:b/>
                <w:sz w:val="20"/>
                <w:szCs w:val="20"/>
              </w:rPr>
            </w:pPr>
            <w:r w:rsidRPr="00C3144A">
              <w:rPr>
                <w:b/>
                <w:sz w:val="20"/>
                <w:szCs w:val="20"/>
              </w:rPr>
              <w:t>Motor</w:t>
            </w:r>
          </w:p>
        </w:tc>
        <w:tc>
          <w:tcPr>
            <w:tcW w:w="1011" w:type="dxa"/>
          </w:tcPr>
          <w:p w14:paraId="44DB4FE3" w14:textId="77777777" w:rsidR="00940546" w:rsidRPr="00C3144A" w:rsidRDefault="00940546" w:rsidP="00C3144A">
            <w:pPr>
              <w:pStyle w:val="TableParagraph"/>
              <w:spacing w:before="15" w:line="360" w:lineRule="auto"/>
              <w:ind w:left="22"/>
              <w:jc w:val="both"/>
              <w:rPr>
                <w:b/>
                <w:sz w:val="20"/>
                <w:szCs w:val="20"/>
              </w:rPr>
            </w:pPr>
            <w:r w:rsidRPr="00C3144A">
              <w:rPr>
                <w:b/>
                <w:sz w:val="20"/>
                <w:szCs w:val="20"/>
              </w:rPr>
              <w:t>Lat onset</w:t>
            </w:r>
          </w:p>
        </w:tc>
        <w:tc>
          <w:tcPr>
            <w:tcW w:w="1162" w:type="dxa"/>
          </w:tcPr>
          <w:p w14:paraId="2C94967A" w14:textId="77777777" w:rsidR="00940546" w:rsidRPr="00C3144A" w:rsidRDefault="00940546" w:rsidP="00C3144A">
            <w:pPr>
              <w:pStyle w:val="TableParagraph"/>
              <w:spacing w:before="15" w:line="360" w:lineRule="auto"/>
              <w:ind w:left="354" w:right="381"/>
              <w:jc w:val="both"/>
              <w:rPr>
                <w:b/>
                <w:sz w:val="20"/>
                <w:szCs w:val="20"/>
              </w:rPr>
            </w:pPr>
            <w:proofErr w:type="spellStart"/>
            <w:r w:rsidRPr="00C3144A">
              <w:rPr>
                <w:b/>
                <w:sz w:val="20"/>
                <w:szCs w:val="20"/>
              </w:rPr>
              <w:t>Dist</w:t>
            </w:r>
            <w:proofErr w:type="spellEnd"/>
          </w:p>
        </w:tc>
        <w:tc>
          <w:tcPr>
            <w:tcW w:w="1695" w:type="dxa"/>
          </w:tcPr>
          <w:p w14:paraId="5B5D8615" w14:textId="77777777" w:rsidR="00940546" w:rsidRPr="00C3144A" w:rsidRDefault="00940546" w:rsidP="00C3144A">
            <w:pPr>
              <w:pStyle w:val="TableParagraph"/>
              <w:spacing w:before="15" w:line="360" w:lineRule="auto"/>
              <w:ind w:left="624" w:right="601"/>
              <w:jc w:val="both"/>
              <w:rPr>
                <w:b/>
                <w:sz w:val="20"/>
                <w:szCs w:val="20"/>
              </w:rPr>
            </w:pPr>
            <w:proofErr w:type="spellStart"/>
            <w:r w:rsidRPr="00C3144A">
              <w:rPr>
                <w:b/>
                <w:sz w:val="20"/>
                <w:szCs w:val="20"/>
              </w:rPr>
              <w:t>Vcm</w:t>
            </w:r>
            <w:proofErr w:type="spellEnd"/>
          </w:p>
        </w:tc>
        <w:tc>
          <w:tcPr>
            <w:tcW w:w="1337" w:type="dxa"/>
          </w:tcPr>
          <w:p w14:paraId="2DEDC393" w14:textId="77777777" w:rsidR="00940546" w:rsidRPr="00C3144A" w:rsidRDefault="00940546" w:rsidP="00C3144A">
            <w:pPr>
              <w:pStyle w:val="TableParagraph"/>
              <w:spacing w:before="15" w:line="360" w:lineRule="auto"/>
              <w:ind w:left="288" w:right="272"/>
              <w:jc w:val="both"/>
              <w:rPr>
                <w:b/>
                <w:sz w:val="20"/>
                <w:szCs w:val="20"/>
              </w:rPr>
            </w:pPr>
            <w:r w:rsidRPr="00C3144A">
              <w:rPr>
                <w:b/>
                <w:sz w:val="20"/>
                <w:szCs w:val="20"/>
              </w:rPr>
              <w:t>Area tot</w:t>
            </w:r>
          </w:p>
        </w:tc>
        <w:tc>
          <w:tcPr>
            <w:tcW w:w="977" w:type="dxa"/>
          </w:tcPr>
          <w:p w14:paraId="1574A01E" w14:textId="77777777" w:rsidR="00940546" w:rsidRPr="00C3144A" w:rsidRDefault="00940546" w:rsidP="00C3144A">
            <w:pPr>
              <w:pStyle w:val="TableParagraph"/>
              <w:spacing w:before="15" w:line="360" w:lineRule="auto"/>
              <w:ind w:left="74" w:right="59"/>
              <w:jc w:val="both"/>
              <w:rPr>
                <w:b/>
                <w:sz w:val="20"/>
                <w:szCs w:val="20"/>
              </w:rPr>
            </w:pPr>
            <w:r w:rsidRPr="00C3144A">
              <w:rPr>
                <w:b/>
                <w:sz w:val="20"/>
                <w:szCs w:val="20"/>
              </w:rPr>
              <w:t>Amp neg</w:t>
            </w:r>
          </w:p>
        </w:tc>
        <w:tc>
          <w:tcPr>
            <w:tcW w:w="1387" w:type="dxa"/>
          </w:tcPr>
          <w:p w14:paraId="362F5DD7" w14:textId="77777777" w:rsidR="00940546" w:rsidRPr="00C3144A" w:rsidRDefault="00940546" w:rsidP="00C3144A">
            <w:pPr>
              <w:pStyle w:val="TableParagraph"/>
              <w:spacing w:before="15" w:line="360" w:lineRule="auto"/>
              <w:ind w:left="110" w:right="95"/>
              <w:jc w:val="both"/>
              <w:rPr>
                <w:b/>
                <w:sz w:val="20"/>
                <w:szCs w:val="20"/>
              </w:rPr>
            </w:pPr>
            <w:r w:rsidRPr="00C3144A">
              <w:rPr>
                <w:b/>
                <w:sz w:val="20"/>
                <w:szCs w:val="20"/>
              </w:rPr>
              <w:t>Diff amp neg</w:t>
            </w:r>
          </w:p>
        </w:tc>
      </w:tr>
      <w:tr w:rsidR="00940546" w:rsidRPr="00C3144A" w14:paraId="5C9FC24A" w14:textId="77777777" w:rsidTr="00750DB7">
        <w:trPr>
          <w:trHeight w:val="277"/>
        </w:trPr>
        <w:tc>
          <w:tcPr>
            <w:tcW w:w="2405" w:type="dxa"/>
          </w:tcPr>
          <w:p w14:paraId="0E826386" w14:textId="77777777" w:rsidR="00940546" w:rsidRPr="00C3144A" w:rsidRDefault="00940546" w:rsidP="00C3144A">
            <w:pPr>
              <w:pStyle w:val="TableParagraph"/>
              <w:spacing w:before="0" w:line="360" w:lineRule="auto"/>
              <w:ind w:left="0"/>
              <w:jc w:val="both"/>
              <w:rPr>
                <w:sz w:val="20"/>
                <w:szCs w:val="20"/>
              </w:rPr>
            </w:pPr>
          </w:p>
        </w:tc>
        <w:tc>
          <w:tcPr>
            <w:tcW w:w="1011" w:type="dxa"/>
          </w:tcPr>
          <w:p w14:paraId="3B30C680" w14:textId="77777777" w:rsidR="00940546" w:rsidRPr="00C3144A" w:rsidRDefault="00940546" w:rsidP="00C3144A">
            <w:pPr>
              <w:pStyle w:val="TableParagraph"/>
              <w:spacing w:before="18" w:line="360" w:lineRule="auto"/>
              <w:jc w:val="both"/>
              <w:rPr>
                <w:sz w:val="20"/>
                <w:szCs w:val="20"/>
              </w:rPr>
            </w:pPr>
            <w:proofErr w:type="spellStart"/>
            <w:r w:rsidRPr="00C3144A">
              <w:rPr>
                <w:sz w:val="20"/>
                <w:szCs w:val="20"/>
              </w:rPr>
              <w:t>ms</w:t>
            </w:r>
            <w:proofErr w:type="spellEnd"/>
          </w:p>
        </w:tc>
        <w:tc>
          <w:tcPr>
            <w:tcW w:w="1162" w:type="dxa"/>
          </w:tcPr>
          <w:p w14:paraId="593BE687" w14:textId="77777777" w:rsidR="00940546" w:rsidRPr="00C3144A" w:rsidRDefault="00940546" w:rsidP="00C3144A">
            <w:pPr>
              <w:pStyle w:val="TableParagraph"/>
              <w:spacing w:before="18" w:line="360" w:lineRule="auto"/>
              <w:ind w:left="360" w:right="342"/>
              <w:jc w:val="both"/>
              <w:rPr>
                <w:sz w:val="20"/>
                <w:szCs w:val="20"/>
              </w:rPr>
            </w:pPr>
            <w:r w:rsidRPr="00C3144A">
              <w:rPr>
                <w:sz w:val="20"/>
                <w:szCs w:val="20"/>
              </w:rPr>
              <w:t>mm</w:t>
            </w:r>
          </w:p>
        </w:tc>
        <w:tc>
          <w:tcPr>
            <w:tcW w:w="1695" w:type="dxa"/>
          </w:tcPr>
          <w:p w14:paraId="6A07B490" w14:textId="77777777" w:rsidR="00940546" w:rsidRPr="00C3144A" w:rsidRDefault="00940546" w:rsidP="00C3144A">
            <w:pPr>
              <w:pStyle w:val="TableParagraph"/>
              <w:spacing w:before="18" w:line="360" w:lineRule="auto"/>
              <w:ind w:left="622" w:right="601"/>
              <w:jc w:val="both"/>
              <w:rPr>
                <w:sz w:val="20"/>
                <w:szCs w:val="20"/>
              </w:rPr>
            </w:pPr>
            <w:r w:rsidRPr="00C3144A">
              <w:rPr>
                <w:sz w:val="20"/>
                <w:szCs w:val="20"/>
              </w:rPr>
              <w:t>m/s</w:t>
            </w:r>
          </w:p>
        </w:tc>
        <w:tc>
          <w:tcPr>
            <w:tcW w:w="1337" w:type="dxa"/>
          </w:tcPr>
          <w:p w14:paraId="44A6EB41" w14:textId="77777777" w:rsidR="00940546" w:rsidRPr="00C3144A" w:rsidRDefault="00940546" w:rsidP="00C3144A">
            <w:pPr>
              <w:pStyle w:val="TableParagraph"/>
              <w:spacing w:before="18" w:line="360" w:lineRule="auto"/>
              <w:ind w:left="288" w:right="272"/>
              <w:jc w:val="both"/>
              <w:rPr>
                <w:sz w:val="20"/>
                <w:szCs w:val="20"/>
              </w:rPr>
            </w:pPr>
            <w:proofErr w:type="spellStart"/>
            <w:r w:rsidRPr="00C3144A">
              <w:rPr>
                <w:w w:val="105"/>
                <w:sz w:val="20"/>
                <w:szCs w:val="20"/>
              </w:rPr>
              <w:t>mV·ms</w:t>
            </w:r>
            <w:proofErr w:type="spellEnd"/>
          </w:p>
        </w:tc>
        <w:tc>
          <w:tcPr>
            <w:tcW w:w="977" w:type="dxa"/>
          </w:tcPr>
          <w:p w14:paraId="529BE884" w14:textId="77777777" w:rsidR="00940546" w:rsidRPr="00C3144A" w:rsidRDefault="00940546" w:rsidP="00C3144A">
            <w:pPr>
              <w:pStyle w:val="TableParagraph"/>
              <w:spacing w:before="18" w:line="360" w:lineRule="auto"/>
              <w:ind w:left="74" w:right="55"/>
              <w:jc w:val="both"/>
              <w:rPr>
                <w:sz w:val="20"/>
                <w:szCs w:val="20"/>
              </w:rPr>
            </w:pPr>
            <w:r w:rsidRPr="00C3144A">
              <w:rPr>
                <w:sz w:val="20"/>
                <w:szCs w:val="20"/>
              </w:rPr>
              <w:t>mV</w:t>
            </w:r>
          </w:p>
        </w:tc>
        <w:tc>
          <w:tcPr>
            <w:tcW w:w="1387" w:type="dxa"/>
          </w:tcPr>
          <w:p w14:paraId="4233E9DE" w14:textId="77777777" w:rsidR="00940546" w:rsidRPr="00C3144A" w:rsidRDefault="00940546" w:rsidP="00C3144A">
            <w:pPr>
              <w:pStyle w:val="TableParagraph"/>
              <w:spacing w:before="18" w:line="360" w:lineRule="auto"/>
              <w:ind w:left="17"/>
              <w:jc w:val="both"/>
              <w:rPr>
                <w:sz w:val="20"/>
                <w:szCs w:val="20"/>
              </w:rPr>
            </w:pPr>
            <w:r w:rsidRPr="00C3144A">
              <w:rPr>
                <w:w w:val="99"/>
                <w:sz w:val="20"/>
                <w:szCs w:val="20"/>
              </w:rPr>
              <w:t>%</w:t>
            </w:r>
          </w:p>
        </w:tc>
      </w:tr>
      <w:tr w:rsidR="00940546" w:rsidRPr="00C3144A" w14:paraId="6974B4C4" w14:textId="77777777" w:rsidTr="00750DB7">
        <w:trPr>
          <w:trHeight w:val="277"/>
        </w:trPr>
        <w:tc>
          <w:tcPr>
            <w:tcW w:w="9974" w:type="dxa"/>
            <w:gridSpan w:val="7"/>
          </w:tcPr>
          <w:p w14:paraId="77ED6626" w14:textId="77777777" w:rsidR="00940546" w:rsidRPr="00C3144A" w:rsidRDefault="00940546" w:rsidP="00C3144A">
            <w:pPr>
              <w:pStyle w:val="TableParagraph"/>
              <w:spacing w:before="18" w:line="360" w:lineRule="auto"/>
              <w:jc w:val="both"/>
              <w:rPr>
                <w:b/>
                <w:sz w:val="20"/>
                <w:szCs w:val="20"/>
              </w:rPr>
            </w:pPr>
            <w:proofErr w:type="spellStart"/>
            <w:r w:rsidRPr="00C3144A">
              <w:rPr>
                <w:b/>
                <w:sz w:val="20"/>
                <w:szCs w:val="20"/>
              </w:rPr>
              <w:t>Medianus</w:t>
            </w:r>
            <w:proofErr w:type="spellEnd"/>
            <w:r w:rsidRPr="00C3144A">
              <w:rPr>
                <w:b/>
                <w:sz w:val="20"/>
                <w:szCs w:val="20"/>
              </w:rPr>
              <w:t xml:space="preserve"> </w:t>
            </w:r>
            <w:proofErr w:type="spellStart"/>
            <w:r w:rsidRPr="00C3144A">
              <w:rPr>
                <w:b/>
                <w:sz w:val="20"/>
                <w:szCs w:val="20"/>
              </w:rPr>
              <w:t>Apb</w:t>
            </w:r>
            <w:proofErr w:type="spellEnd"/>
            <w:r w:rsidRPr="00C3144A">
              <w:rPr>
                <w:b/>
                <w:sz w:val="20"/>
                <w:szCs w:val="20"/>
              </w:rPr>
              <w:t xml:space="preserve"> (Left)</w:t>
            </w:r>
          </w:p>
        </w:tc>
      </w:tr>
      <w:tr w:rsidR="00940546" w:rsidRPr="00C3144A" w14:paraId="3D9CBB62" w14:textId="77777777" w:rsidTr="00750DB7">
        <w:trPr>
          <w:trHeight w:val="322"/>
        </w:trPr>
        <w:tc>
          <w:tcPr>
            <w:tcW w:w="2405" w:type="dxa"/>
          </w:tcPr>
          <w:p w14:paraId="3D47B1DF" w14:textId="77777777" w:rsidR="00940546" w:rsidRPr="00C3144A" w:rsidRDefault="00940546" w:rsidP="00C3144A">
            <w:pPr>
              <w:pStyle w:val="TableParagraph"/>
              <w:spacing w:before="19" w:line="360" w:lineRule="auto"/>
              <w:jc w:val="both"/>
              <w:rPr>
                <w:sz w:val="20"/>
                <w:szCs w:val="20"/>
              </w:rPr>
            </w:pPr>
            <w:r w:rsidRPr="00C3144A">
              <w:rPr>
                <w:sz w:val="20"/>
                <w:szCs w:val="20"/>
              </w:rPr>
              <w:t>Wrist-ABP</w:t>
            </w:r>
          </w:p>
        </w:tc>
        <w:tc>
          <w:tcPr>
            <w:tcW w:w="1011" w:type="dxa"/>
          </w:tcPr>
          <w:p w14:paraId="027F9CB8" w14:textId="77777777" w:rsidR="00940546" w:rsidRPr="00C3144A" w:rsidRDefault="00940546" w:rsidP="00C3144A">
            <w:pPr>
              <w:pStyle w:val="TableParagraph"/>
              <w:spacing w:line="360" w:lineRule="auto"/>
              <w:ind w:left="24"/>
              <w:jc w:val="both"/>
              <w:rPr>
                <w:b/>
                <w:sz w:val="20"/>
                <w:szCs w:val="20"/>
              </w:rPr>
            </w:pPr>
            <w:r w:rsidRPr="00C3144A">
              <w:rPr>
                <w:b/>
                <w:sz w:val="20"/>
                <w:szCs w:val="20"/>
              </w:rPr>
              <w:t>5,7</w:t>
            </w:r>
          </w:p>
        </w:tc>
        <w:tc>
          <w:tcPr>
            <w:tcW w:w="1162" w:type="dxa"/>
          </w:tcPr>
          <w:p w14:paraId="74ABF71D" w14:textId="77777777" w:rsidR="00940546" w:rsidRPr="00C3144A" w:rsidRDefault="00940546" w:rsidP="00C3144A">
            <w:pPr>
              <w:pStyle w:val="TableParagraph"/>
              <w:spacing w:line="360" w:lineRule="auto"/>
              <w:ind w:left="360" w:right="335"/>
              <w:jc w:val="both"/>
              <w:rPr>
                <w:sz w:val="20"/>
                <w:szCs w:val="20"/>
              </w:rPr>
            </w:pPr>
            <w:r w:rsidRPr="00C3144A">
              <w:rPr>
                <w:sz w:val="20"/>
                <w:szCs w:val="20"/>
              </w:rPr>
              <w:t>50</w:t>
            </w:r>
          </w:p>
        </w:tc>
        <w:tc>
          <w:tcPr>
            <w:tcW w:w="1695" w:type="dxa"/>
          </w:tcPr>
          <w:p w14:paraId="0433FD31" w14:textId="77777777" w:rsidR="00940546" w:rsidRPr="00C3144A" w:rsidRDefault="00940546" w:rsidP="00C3144A">
            <w:pPr>
              <w:pStyle w:val="TableParagraph"/>
              <w:spacing w:before="0" w:line="360" w:lineRule="auto"/>
              <w:ind w:left="0"/>
              <w:jc w:val="both"/>
              <w:rPr>
                <w:sz w:val="20"/>
                <w:szCs w:val="20"/>
              </w:rPr>
            </w:pPr>
          </w:p>
        </w:tc>
        <w:tc>
          <w:tcPr>
            <w:tcW w:w="1337" w:type="dxa"/>
          </w:tcPr>
          <w:p w14:paraId="5984E956" w14:textId="77777777" w:rsidR="00940546" w:rsidRPr="00C3144A" w:rsidRDefault="00940546" w:rsidP="00C3144A">
            <w:pPr>
              <w:pStyle w:val="TableParagraph"/>
              <w:spacing w:line="360" w:lineRule="auto"/>
              <w:ind w:left="288" w:right="267"/>
              <w:jc w:val="both"/>
              <w:rPr>
                <w:sz w:val="20"/>
                <w:szCs w:val="20"/>
              </w:rPr>
            </w:pPr>
            <w:r w:rsidRPr="00C3144A">
              <w:rPr>
                <w:sz w:val="20"/>
                <w:szCs w:val="20"/>
              </w:rPr>
              <w:t>31,0</w:t>
            </w:r>
          </w:p>
        </w:tc>
        <w:tc>
          <w:tcPr>
            <w:tcW w:w="977" w:type="dxa"/>
          </w:tcPr>
          <w:p w14:paraId="5AF86C58" w14:textId="77777777" w:rsidR="00940546" w:rsidRPr="00C3144A" w:rsidRDefault="00940546" w:rsidP="00C3144A">
            <w:pPr>
              <w:pStyle w:val="TableParagraph"/>
              <w:spacing w:line="360" w:lineRule="auto"/>
              <w:ind w:left="74" w:right="58"/>
              <w:jc w:val="both"/>
              <w:rPr>
                <w:b/>
                <w:sz w:val="20"/>
                <w:szCs w:val="20"/>
              </w:rPr>
            </w:pPr>
            <w:r w:rsidRPr="00C3144A">
              <w:rPr>
                <w:b/>
                <w:sz w:val="20"/>
                <w:szCs w:val="20"/>
              </w:rPr>
              <w:t>3,3</w:t>
            </w:r>
          </w:p>
        </w:tc>
        <w:tc>
          <w:tcPr>
            <w:tcW w:w="1387" w:type="dxa"/>
          </w:tcPr>
          <w:p w14:paraId="07615F96" w14:textId="77777777" w:rsidR="00940546" w:rsidRPr="00C3144A" w:rsidRDefault="00940546" w:rsidP="00C3144A">
            <w:pPr>
              <w:pStyle w:val="TableParagraph"/>
              <w:spacing w:before="0" w:line="360" w:lineRule="auto"/>
              <w:ind w:left="0"/>
              <w:jc w:val="both"/>
              <w:rPr>
                <w:sz w:val="20"/>
                <w:szCs w:val="20"/>
              </w:rPr>
            </w:pPr>
          </w:p>
        </w:tc>
      </w:tr>
      <w:tr w:rsidR="00940546" w:rsidRPr="00C3144A" w14:paraId="19D6802F" w14:textId="77777777" w:rsidTr="00750DB7">
        <w:trPr>
          <w:trHeight w:val="322"/>
        </w:trPr>
        <w:tc>
          <w:tcPr>
            <w:tcW w:w="2405" w:type="dxa"/>
          </w:tcPr>
          <w:p w14:paraId="40CD79CA" w14:textId="77777777" w:rsidR="00940546" w:rsidRPr="00C3144A" w:rsidRDefault="00940546" w:rsidP="00C3144A">
            <w:pPr>
              <w:pStyle w:val="TableParagraph"/>
              <w:spacing w:before="16" w:line="360" w:lineRule="auto"/>
              <w:jc w:val="both"/>
              <w:rPr>
                <w:sz w:val="20"/>
                <w:szCs w:val="20"/>
              </w:rPr>
            </w:pPr>
            <w:r w:rsidRPr="00C3144A">
              <w:rPr>
                <w:sz w:val="20"/>
                <w:szCs w:val="20"/>
              </w:rPr>
              <w:t>Elbow-Wrist</w:t>
            </w:r>
          </w:p>
        </w:tc>
        <w:tc>
          <w:tcPr>
            <w:tcW w:w="1011" w:type="dxa"/>
          </w:tcPr>
          <w:p w14:paraId="25C61666" w14:textId="77777777" w:rsidR="00940546" w:rsidRPr="00C3144A" w:rsidRDefault="00940546" w:rsidP="00C3144A">
            <w:pPr>
              <w:pStyle w:val="TableParagraph"/>
              <w:spacing w:line="360" w:lineRule="auto"/>
              <w:ind w:left="24"/>
              <w:jc w:val="both"/>
              <w:rPr>
                <w:sz w:val="20"/>
                <w:szCs w:val="20"/>
              </w:rPr>
            </w:pPr>
            <w:r w:rsidRPr="00C3144A">
              <w:rPr>
                <w:sz w:val="20"/>
                <w:szCs w:val="20"/>
              </w:rPr>
              <w:t>13,0</w:t>
            </w:r>
          </w:p>
        </w:tc>
        <w:tc>
          <w:tcPr>
            <w:tcW w:w="1162" w:type="dxa"/>
          </w:tcPr>
          <w:p w14:paraId="3B55FCA1" w14:textId="77777777" w:rsidR="00940546" w:rsidRPr="00C3144A" w:rsidRDefault="00940546" w:rsidP="00C3144A">
            <w:pPr>
              <w:pStyle w:val="TableParagraph"/>
              <w:spacing w:line="360" w:lineRule="auto"/>
              <w:ind w:left="360" w:right="337"/>
              <w:jc w:val="both"/>
              <w:rPr>
                <w:sz w:val="20"/>
                <w:szCs w:val="20"/>
              </w:rPr>
            </w:pPr>
            <w:r w:rsidRPr="00C3144A">
              <w:rPr>
                <w:sz w:val="20"/>
                <w:szCs w:val="20"/>
              </w:rPr>
              <w:t>195</w:t>
            </w:r>
          </w:p>
        </w:tc>
        <w:tc>
          <w:tcPr>
            <w:tcW w:w="1695" w:type="dxa"/>
          </w:tcPr>
          <w:p w14:paraId="6CC98174" w14:textId="77777777" w:rsidR="00940546" w:rsidRPr="00C3144A" w:rsidRDefault="00940546" w:rsidP="00C3144A">
            <w:pPr>
              <w:pStyle w:val="TableParagraph"/>
              <w:spacing w:line="360" w:lineRule="auto"/>
              <w:ind w:left="618" w:right="601"/>
              <w:jc w:val="both"/>
              <w:rPr>
                <w:b/>
                <w:sz w:val="20"/>
                <w:szCs w:val="20"/>
              </w:rPr>
            </w:pPr>
            <w:r w:rsidRPr="00C3144A">
              <w:rPr>
                <w:b/>
                <w:sz w:val="20"/>
                <w:szCs w:val="20"/>
              </w:rPr>
              <w:t>27,0</w:t>
            </w:r>
          </w:p>
        </w:tc>
        <w:tc>
          <w:tcPr>
            <w:tcW w:w="1337" w:type="dxa"/>
          </w:tcPr>
          <w:p w14:paraId="09783E99" w14:textId="77777777" w:rsidR="00940546" w:rsidRPr="00C3144A" w:rsidRDefault="00940546" w:rsidP="00C3144A">
            <w:pPr>
              <w:pStyle w:val="TableParagraph"/>
              <w:spacing w:line="360" w:lineRule="auto"/>
              <w:ind w:left="288" w:right="267"/>
              <w:jc w:val="both"/>
              <w:rPr>
                <w:sz w:val="20"/>
                <w:szCs w:val="20"/>
              </w:rPr>
            </w:pPr>
            <w:r w:rsidRPr="00C3144A">
              <w:rPr>
                <w:sz w:val="20"/>
                <w:szCs w:val="20"/>
              </w:rPr>
              <w:t>30,2</w:t>
            </w:r>
          </w:p>
        </w:tc>
        <w:tc>
          <w:tcPr>
            <w:tcW w:w="977" w:type="dxa"/>
          </w:tcPr>
          <w:p w14:paraId="65062602" w14:textId="77777777" w:rsidR="00940546" w:rsidRPr="00C3144A" w:rsidRDefault="00940546" w:rsidP="00C3144A">
            <w:pPr>
              <w:pStyle w:val="TableParagraph"/>
              <w:spacing w:line="360" w:lineRule="auto"/>
              <w:ind w:left="74" w:right="58"/>
              <w:jc w:val="both"/>
              <w:rPr>
                <w:b/>
                <w:sz w:val="20"/>
                <w:szCs w:val="20"/>
              </w:rPr>
            </w:pPr>
            <w:r w:rsidRPr="00C3144A">
              <w:rPr>
                <w:b/>
                <w:sz w:val="20"/>
                <w:szCs w:val="20"/>
              </w:rPr>
              <w:t>4,0</w:t>
            </w:r>
          </w:p>
        </w:tc>
        <w:tc>
          <w:tcPr>
            <w:tcW w:w="1387" w:type="dxa"/>
          </w:tcPr>
          <w:p w14:paraId="37ECFDEF" w14:textId="77777777" w:rsidR="00940546" w:rsidRPr="00C3144A" w:rsidRDefault="00940546" w:rsidP="00C3144A">
            <w:pPr>
              <w:pStyle w:val="TableParagraph"/>
              <w:spacing w:line="360" w:lineRule="auto"/>
              <w:ind w:left="110" w:right="92"/>
              <w:jc w:val="both"/>
              <w:rPr>
                <w:sz w:val="20"/>
                <w:szCs w:val="20"/>
              </w:rPr>
            </w:pPr>
            <w:r w:rsidRPr="00C3144A">
              <w:rPr>
                <w:sz w:val="20"/>
                <w:szCs w:val="20"/>
              </w:rPr>
              <w:t>20,0</w:t>
            </w:r>
          </w:p>
        </w:tc>
      </w:tr>
      <w:tr w:rsidR="00940546" w:rsidRPr="00C3144A" w14:paraId="08A573C8" w14:textId="77777777" w:rsidTr="00750DB7">
        <w:trPr>
          <w:trHeight w:val="277"/>
        </w:trPr>
        <w:tc>
          <w:tcPr>
            <w:tcW w:w="9974" w:type="dxa"/>
            <w:gridSpan w:val="7"/>
          </w:tcPr>
          <w:p w14:paraId="5500540E" w14:textId="77777777" w:rsidR="00940546" w:rsidRPr="00C3144A" w:rsidRDefault="00940546" w:rsidP="00C3144A">
            <w:pPr>
              <w:pStyle w:val="TableParagraph"/>
              <w:spacing w:before="18" w:line="360" w:lineRule="auto"/>
              <w:jc w:val="both"/>
              <w:rPr>
                <w:b/>
                <w:sz w:val="20"/>
                <w:szCs w:val="20"/>
              </w:rPr>
            </w:pPr>
            <w:r w:rsidRPr="00C3144A">
              <w:rPr>
                <w:b/>
                <w:sz w:val="20"/>
                <w:szCs w:val="20"/>
              </w:rPr>
              <w:t>Ulnaris Adm (Left)</w:t>
            </w:r>
          </w:p>
        </w:tc>
      </w:tr>
      <w:tr w:rsidR="00940546" w:rsidRPr="00C3144A" w14:paraId="0699EAF9" w14:textId="77777777" w:rsidTr="00750DB7">
        <w:trPr>
          <w:trHeight w:val="320"/>
        </w:trPr>
        <w:tc>
          <w:tcPr>
            <w:tcW w:w="2405" w:type="dxa"/>
          </w:tcPr>
          <w:p w14:paraId="4E577933" w14:textId="77777777" w:rsidR="00940546" w:rsidRPr="00C3144A" w:rsidRDefault="00940546" w:rsidP="00C3144A">
            <w:pPr>
              <w:pStyle w:val="TableParagraph"/>
              <w:spacing w:before="16" w:line="360" w:lineRule="auto"/>
              <w:jc w:val="both"/>
              <w:rPr>
                <w:sz w:val="20"/>
                <w:szCs w:val="20"/>
              </w:rPr>
            </w:pPr>
            <w:r w:rsidRPr="00C3144A">
              <w:rPr>
                <w:sz w:val="20"/>
                <w:szCs w:val="20"/>
              </w:rPr>
              <w:t>Wrist-ADM</w:t>
            </w:r>
          </w:p>
        </w:tc>
        <w:tc>
          <w:tcPr>
            <w:tcW w:w="1011" w:type="dxa"/>
          </w:tcPr>
          <w:p w14:paraId="0CD1868D" w14:textId="77777777" w:rsidR="00940546" w:rsidRPr="00C3144A" w:rsidRDefault="00940546" w:rsidP="00C3144A">
            <w:pPr>
              <w:pStyle w:val="TableParagraph"/>
              <w:spacing w:line="360" w:lineRule="auto"/>
              <w:ind w:left="24"/>
              <w:jc w:val="both"/>
              <w:rPr>
                <w:b/>
                <w:sz w:val="20"/>
                <w:szCs w:val="20"/>
              </w:rPr>
            </w:pPr>
            <w:r w:rsidRPr="00C3144A">
              <w:rPr>
                <w:b/>
                <w:sz w:val="20"/>
                <w:szCs w:val="20"/>
              </w:rPr>
              <w:t>7,6</w:t>
            </w:r>
          </w:p>
        </w:tc>
        <w:tc>
          <w:tcPr>
            <w:tcW w:w="1162" w:type="dxa"/>
          </w:tcPr>
          <w:p w14:paraId="5D238DB6" w14:textId="77777777" w:rsidR="00940546" w:rsidRPr="00C3144A" w:rsidRDefault="00940546" w:rsidP="00C3144A">
            <w:pPr>
              <w:pStyle w:val="TableParagraph"/>
              <w:spacing w:line="360" w:lineRule="auto"/>
              <w:ind w:left="360" w:right="335"/>
              <w:jc w:val="both"/>
              <w:rPr>
                <w:sz w:val="20"/>
                <w:szCs w:val="20"/>
              </w:rPr>
            </w:pPr>
            <w:r w:rsidRPr="00C3144A">
              <w:rPr>
                <w:sz w:val="20"/>
                <w:szCs w:val="20"/>
              </w:rPr>
              <w:t>50</w:t>
            </w:r>
          </w:p>
        </w:tc>
        <w:tc>
          <w:tcPr>
            <w:tcW w:w="1695" w:type="dxa"/>
          </w:tcPr>
          <w:p w14:paraId="38006BB0" w14:textId="77777777" w:rsidR="00940546" w:rsidRPr="00C3144A" w:rsidRDefault="00940546" w:rsidP="00C3144A">
            <w:pPr>
              <w:pStyle w:val="TableParagraph"/>
              <w:spacing w:before="0" w:line="360" w:lineRule="auto"/>
              <w:ind w:left="0"/>
              <w:jc w:val="both"/>
              <w:rPr>
                <w:sz w:val="20"/>
                <w:szCs w:val="20"/>
              </w:rPr>
            </w:pPr>
          </w:p>
        </w:tc>
        <w:tc>
          <w:tcPr>
            <w:tcW w:w="1337" w:type="dxa"/>
          </w:tcPr>
          <w:p w14:paraId="03302059" w14:textId="77777777" w:rsidR="00940546" w:rsidRPr="00C3144A" w:rsidRDefault="00940546" w:rsidP="00C3144A">
            <w:pPr>
              <w:pStyle w:val="TableParagraph"/>
              <w:spacing w:line="360" w:lineRule="auto"/>
              <w:ind w:left="288" w:right="267"/>
              <w:jc w:val="both"/>
              <w:rPr>
                <w:sz w:val="20"/>
                <w:szCs w:val="20"/>
              </w:rPr>
            </w:pPr>
            <w:r w:rsidRPr="00C3144A">
              <w:rPr>
                <w:sz w:val="20"/>
                <w:szCs w:val="20"/>
              </w:rPr>
              <w:t>33,9</w:t>
            </w:r>
          </w:p>
        </w:tc>
        <w:tc>
          <w:tcPr>
            <w:tcW w:w="977" w:type="dxa"/>
          </w:tcPr>
          <w:p w14:paraId="6855AEE7" w14:textId="77777777" w:rsidR="00940546" w:rsidRPr="00C3144A" w:rsidRDefault="00940546" w:rsidP="00C3144A">
            <w:pPr>
              <w:pStyle w:val="TableParagraph"/>
              <w:spacing w:line="360" w:lineRule="auto"/>
              <w:ind w:left="74" w:right="58"/>
              <w:jc w:val="both"/>
              <w:rPr>
                <w:b/>
                <w:sz w:val="20"/>
                <w:szCs w:val="20"/>
              </w:rPr>
            </w:pPr>
            <w:r w:rsidRPr="00C3144A">
              <w:rPr>
                <w:b/>
                <w:sz w:val="20"/>
                <w:szCs w:val="20"/>
              </w:rPr>
              <w:t>3,8</w:t>
            </w:r>
          </w:p>
        </w:tc>
        <w:tc>
          <w:tcPr>
            <w:tcW w:w="1387" w:type="dxa"/>
          </w:tcPr>
          <w:p w14:paraId="3A23B314" w14:textId="77777777" w:rsidR="00940546" w:rsidRPr="00C3144A" w:rsidRDefault="00940546" w:rsidP="00C3144A">
            <w:pPr>
              <w:pStyle w:val="TableParagraph"/>
              <w:spacing w:before="0" w:line="360" w:lineRule="auto"/>
              <w:ind w:left="0"/>
              <w:jc w:val="both"/>
              <w:rPr>
                <w:sz w:val="20"/>
                <w:szCs w:val="20"/>
              </w:rPr>
            </w:pPr>
          </w:p>
        </w:tc>
      </w:tr>
      <w:tr w:rsidR="00940546" w:rsidRPr="00C3144A" w14:paraId="64E8A62A" w14:textId="77777777" w:rsidTr="00750DB7">
        <w:trPr>
          <w:trHeight w:val="322"/>
        </w:trPr>
        <w:tc>
          <w:tcPr>
            <w:tcW w:w="2405" w:type="dxa"/>
          </w:tcPr>
          <w:p w14:paraId="59D80ABA" w14:textId="77777777" w:rsidR="00940546" w:rsidRPr="00C3144A" w:rsidRDefault="00940546" w:rsidP="00C3144A">
            <w:pPr>
              <w:pStyle w:val="TableParagraph"/>
              <w:spacing w:before="19" w:line="360" w:lineRule="auto"/>
              <w:jc w:val="both"/>
              <w:rPr>
                <w:sz w:val="20"/>
                <w:szCs w:val="20"/>
              </w:rPr>
            </w:pPr>
            <w:r w:rsidRPr="00C3144A">
              <w:rPr>
                <w:sz w:val="20"/>
                <w:szCs w:val="20"/>
              </w:rPr>
              <w:t>B. Elbow-Wrist</w:t>
            </w:r>
          </w:p>
        </w:tc>
        <w:tc>
          <w:tcPr>
            <w:tcW w:w="1011" w:type="dxa"/>
          </w:tcPr>
          <w:p w14:paraId="50206B38" w14:textId="77777777" w:rsidR="00940546" w:rsidRPr="00C3144A" w:rsidRDefault="00940546" w:rsidP="00C3144A">
            <w:pPr>
              <w:pStyle w:val="TableParagraph"/>
              <w:spacing w:line="360" w:lineRule="auto"/>
              <w:ind w:left="24"/>
              <w:jc w:val="both"/>
              <w:rPr>
                <w:sz w:val="20"/>
                <w:szCs w:val="20"/>
              </w:rPr>
            </w:pPr>
            <w:r w:rsidRPr="00C3144A">
              <w:rPr>
                <w:sz w:val="20"/>
                <w:szCs w:val="20"/>
              </w:rPr>
              <w:t>12,8</w:t>
            </w:r>
          </w:p>
        </w:tc>
        <w:tc>
          <w:tcPr>
            <w:tcW w:w="1162" w:type="dxa"/>
          </w:tcPr>
          <w:p w14:paraId="06BE2188" w14:textId="77777777" w:rsidR="00940546" w:rsidRPr="00C3144A" w:rsidRDefault="00940546" w:rsidP="00C3144A">
            <w:pPr>
              <w:pStyle w:val="TableParagraph"/>
              <w:spacing w:line="360" w:lineRule="auto"/>
              <w:ind w:left="360" w:right="337"/>
              <w:jc w:val="both"/>
              <w:rPr>
                <w:sz w:val="20"/>
                <w:szCs w:val="20"/>
              </w:rPr>
            </w:pPr>
            <w:r w:rsidRPr="00C3144A">
              <w:rPr>
                <w:sz w:val="20"/>
                <w:szCs w:val="20"/>
              </w:rPr>
              <w:t>180</w:t>
            </w:r>
          </w:p>
        </w:tc>
        <w:tc>
          <w:tcPr>
            <w:tcW w:w="1695" w:type="dxa"/>
          </w:tcPr>
          <w:p w14:paraId="47191E3F" w14:textId="77777777" w:rsidR="00940546" w:rsidRPr="00C3144A" w:rsidRDefault="00940546" w:rsidP="00C3144A">
            <w:pPr>
              <w:pStyle w:val="TableParagraph"/>
              <w:spacing w:line="360" w:lineRule="auto"/>
              <w:ind w:left="618" w:right="601"/>
              <w:jc w:val="both"/>
              <w:rPr>
                <w:b/>
                <w:sz w:val="20"/>
                <w:szCs w:val="20"/>
              </w:rPr>
            </w:pPr>
            <w:r w:rsidRPr="00C3144A">
              <w:rPr>
                <w:b/>
                <w:sz w:val="20"/>
                <w:szCs w:val="20"/>
              </w:rPr>
              <w:t>34,5</w:t>
            </w:r>
          </w:p>
        </w:tc>
        <w:tc>
          <w:tcPr>
            <w:tcW w:w="1337" w:type="dxa"/>
          </w:tcPr>
          <w:p w14:paraId="29AA2770" w14:textId="77777777" w:rsidR="00940546" w:rsidRPr="00C3144A" w:rsidRDefault="00940546" w:rsidP="00C3144A">
            <w:pPr>
              <w:pStyle w:val="TableParagraph"/>
              <w:spacing w:line="360" w:lineRule="auto"/>
              <w:ind w:left="288" w:right="267"/>
              <w:jc w:val="both"/>
              <w:rPr>
                <w:sz w:val="20"/>
                <w:szCs w:val="20"/>
              </w:rPr>
            </w:pPr>
            <w:r w:rsidRPr="00C3144A">
              <w:rPr>
                <w:sz w:val="20"/>
                <w:szCs w:val="20"/>
              </w:rPr>
              <w:t>32,1</w:t>
            </w:r>
          </w:p>
        </w:tc>
        <w:tc>
          <w:tcPr>
            <w:tcW w:w="977" w:type="dxa"/>
          </w:tcPr>
          <w:p w14:paraId="7FB7B146" w14:textId="77777777" w:rsidR="00940546" w:rsidRPr="00C3144A" w:rsidRDefault="00940546" w:rsidP="00C3144A">
            <w:pPr>
              <w:pStyle w:val="TableParagraph"/>
              <w:spacing w:line="360" w:lineRule="auto"/>
              <w:ind w:left="74" w:right="58"/>
              <w:jc w:val="both"/>
              <w:rPr>
                <w:b/>
                <w:sz w:val="20"/>
                <w:szCs w:val="20"/>
              </w:rPr>
            </w:pPr>
            <w:r w:rsidRPr="00C3144A">
              <w:rPr>
                <w:b/>
                <w:sz w:val="20"/>
                <w:szCs w:val="20"/>
              </w:rPr>
              <w:t>3,5</w:t>
            </w:r>
          </w:p>
        </w:tc>
        <w:tc>
          <w:tcPr>
            <w:tcW w:w="1387" w:type="dxa"/>
          </w:tcPr>
          <w:p w14:paraId="4518D678" w14:textId="77777777" w:rsidR="00940546" w:rsidRPr="00C3144A" w:rsidRDefault="00940546" w:rsidP="00C3144A">
            <w:pPr>
              <w:pStyle w:val="TableParagraph"/>
              <w:spacing w:line="360" w:lineRule="auto"/>
              <w:ind w:left="109" w:right="95"/>
              <w:jc w:val="both"/>
              <w:rPr>
                <w:sz w:val="20"/>
                <w:szCs w:val="20"/>
              </w:rPr>
            </w:pPr>
            <w:r w:rsidRPr="00C3144A">
              <w:rPr>
                <w:sz w:val="20"/>
                <w:szCs w:val="20"/>
              </w:rPr>
              <w:t>-8,1</w:t>
            </w:r>
          </w:p>
        </w:tc>
      </w:tr>
      <w:tr w:rsidR="00940546" w:rsidRPr="00C3144A" w14:paraId="2150DEE5" w14:textId="77777777" w:rsidTr="00750DB7">
        <w:trPr>
          <w:trHeight w:val="322"/>
        </w:trPr>
        <w:tc>
          <w:tcPr>
            <w:tcW w:w="2405" w:type="dxa"/>
          </w:tcPr>
          <w:p w14:paraId="4C3B7AAA" w14:textId="77777777" w:rsidR="00940546" w:rsidRPr="00C3144A" w:rsidRDefault="00940546" w:rsidP="00C3144A">
            <w:pPr>
              <w:pStyle w:val="TableParagraph"/>
              <w:spacing w:before="16" w:line="360" w:lineRule="auto"/>
              <w:jc w:val="both"/>
              <w:rPr>
                <w:sz w:val="20"/>
                <w:szCs w:val="20"/>
              </w:rPr>
            </w:pPr>
            <w:r w:rsidRPr="00C3144A">
              <w:rPr>
                <w:sz w:val="20"/>
                <w:szCs w:val="20"/>
              </w:rPr>
              <w:t>A. Elbow-B. Elbow</w:t>
            </w:r>
          </w:p>
        </w:tc>
        <w:tc>
          <w:tcPr>
            <w:tcW w:w="1011" w:type="dxa"/>
          </w:tcPr>
          <w:p w14:paraId="20DDAAB2" w14:textId="77777777" w:rsidR="00940546" w:rsidRPr="00C3144A" w:rsidRDefault="00940546" w:rsidP="00C3144A">
            <w:pPr>
              <w:pStyle w:val="TableParagraph"/>
              <w:spacing w:line="360" w:lineRule="auto"/>
              <w:ind w:left="24"/>
              <w:jc w:val="both"/>
              <w:rPr>
                <w:sz w:val="20"/>
                <w:szCs w:val="20"/>
              </w:rPr>
            </w:pPr>
            <w:r w:rsidRPr="00C3144A">
              <w:rPr>
                <w:sz w:val="20"/>
                <w:szCs w:val="20"/>
              </w:rPr>
              <w:t>15,6</w:t>
            </w:r>
          </w:p>
        </w:tc>
        <w:tc>
          <w:tcPr>
            <w:tcW w:w="1162" w:type="dxa"/>
          </w:tcPr>
          <w:p w14:paraId="72EA2775" w14:textId="77777777" w:rsidR="00940546" w:rsidRPr="00C3144A" w:rsidRDefault="00940546" w:rsidP="00C3144A">
            <w:pPr>
              <w:pStyle w:val="TableParagraph"/>
              <w:spacing w:line="360" w:lineRule="auto"/>
              <w:ind w:left="360" w:right="334"/>
              <w:jc w:val="both"/>
              <w:rPr>
                <w:sz w:val="20"/>
                <w:szCs w:val="20"/>
              </w:rPr>
            </w:pPr>
            <w:r w:rsidRPr="00C3144A">
              <w:rPr>
                <w:sz w:val="20"/>
                <w:szCs w:val="20"/>
              </w:rPr>
              <w:t>90</w:t>
            </w:r>
          </w:p>
        </w:tc>
        <w:tc>
          <w:tcPr>
            <w:tcW w:w="1695" w:type="dxa"/>
          </w:tcPr>
          <w:p w14:paraId="1BF8A792" w14:textId="77777777" w:rsidR="00940546" w:rsidRPr="00C3144A" w:rsidRDefault="00940546" w:rsidP="00C3144A">
            <w:pPr>
              <w:pStyle w:val="TableParagraph"/>
              <w:spacing w:line="360" w:lineRule="auto"/>
              <w:ind w:left="619" w:right="601"/>
              <w:jc w:val="both"/>
              <w:rPr>
                <w:b/>
                <w:sz w:val="20"/>
                <w:szCs w:val="20"/>
              </w:rPr>
            </w:pPr>
            <w:r w:rsidRPr="00C3144A">
              <w:rPr>
                <w:b/>
                <w:sz w:val="20"/>
                <w:szCs w:val="20"/>
              </w:rPr>
              <w:t>31,2</w:t>
            </w:r>
          </w:p>
        </w:tc>
        <w:tc>
          <w:tcPr>
            <w:tcW w:w="1337" w:type="dxa"/>
          </w:tcPr>
          <w:p w14:paraId="2D414D74" w14:textId="77777777" w:rsidR="00940546" w:rsidRPr="00C3144A" w:rsidRDefault="00940546" w:rsidP="00C3144A">
            <w:pPr>
              <w:pStyle w:val="TableParagraph"/>
              <w:spacing w:line="360" w:lineRule="auto"/>
              <w:ind w:left="288" w:right="266"/>
              <w:jc w:val="both"/>
              <w:rPr>
                <w:sz w:val="20"/>
                <w:szCs w:val="20"/>
              </w:rPr>
            </w:pPr>
            <w:r w:rsidRPr="00C3144A">
              <w:rPr>
                <w:sz w:val="20"/>
                <w:szCs w:val="20"/>
              </w:rPr>
              <w:t>33,0</w:t>
            </w:r>
          </w:p>
        </w:tc>
        <w:tc>
          <w:tcPr>
            <w:tcW w:w="977" w:type="dxa"/>
          </w:tcPr>
          <w:p w14:paraId="3D452492" w14:textId="77777777" w:rsidR="00940546" w:rsidRPr="00C3144A" w:rsidRDefault="00940546" w:rsidP="00C3144A">
            <w:pPr>
              <w:pStyle w:val="TableParagraph"/>
              <w:spacing w:line="360" w:lineRule="auto"/>
              <w:ind w:left="74" w:right="58"/>
              <w:jc w:val="both"/>
              <w:rPr>
                <w:b/>
                <w:sz w:val="20"/>
                <w:szCs w:val="20"/>
              </w:rPr>
            </w:pPr>
            <w:r w:rsidRPr="00C3144A">
              <w:rPr>
                <w:b/>
                <w:sz w:val="20"/>
                <w:szCs w:val="20"/>
              </w:rPr>
              <w:t>3,9</w:t>
            </w:r>
          </w:p>
        </w:tc>
        <w:tc>
          <w:tcPr>
            <w:tcW w:w="1387" w:type="dxa"/>
          </w:tcPr>
          <w:p w14:paraId="2098CF2E" w14:textId="77777777" w:rsidR="00940546" w:rsidRPr="00C3144A" w:rsidRDefault="00940546" w:rsidP="00C3144A">
            <w:pPr>
              <w:pStyle w:val="TableParagraph"/>
              <w:spacing w:line="360" w:lineRule="auto"/>
              <w:ind w:left="110" w:right="94"/>
              <w:jc w:val="both"/>
              <w:rPr>
                <w:sz w:val="20"/>
                <w:szCs w:val="20"/>
              </w:rPr>
            </w:pPr>
            <w:r w:rsidRPr="00C3144A">
              <w:rPr>
                <w:sz w:val="20"/>
                <w:szCs w:val="20"/>
              </w:rPr>
              <w:t>11,0</w:t>
            </w:r>
          </w:p>
        </w:tc>
      </w:tr>
      <w:tr w:rsidR="00940546" w:rsidRPr="00C3144A" w14:paraId="776D4ECD" w14:textId="77777777" w:rsidTr="00750DB7">
        <w:trPr>
          <w:trHeight w:val="274"/>
        </w:trPr>
        <w:tc>
          <w:tcPr>
            <w:tcW w:w="9974" w:type="dxa"/>
            <w:gridSpan w:val="7"/>
          </w:tcPr>
          <w:p w14:paraId="3683C019" w14:textId="77777777" w:rsidR="00940546" w:rsidRPr="00C3144A" w:rsidRDefault="00940546" w:rsidP="00C3144A">
            <w:pPr>
              <w:pStyle w:val="TableParagraph"/>
              <w:spacing w:before="15" w:line="360" w:lineRule="auto"/>
              <w:jc w:val="both"/>
              <w:rPr>
                <w:b/>
                <w:sz w:val="20"/>
                <w:szCs w:val="20"/>
              </w:rPr>
            </w:pPr>
            <w:r w:rsidRPr="00C3144A">
              <w:rPr>
                <w:b/>
                <w:sz w:val="20"/>
                <w:szCs w:val="20"/>
              </w:rPr>
              <w:t>Tibialis Ah (Left)</w:t>
            </w:r>
          </w:p>
        </w:tc>
      </w:tr>
      <w:tr w:rsidR="00940546" w:rsidRPr="00C3144A" w14:paraId="6CFD4229" w14:textId="77777777" w:rsidTr="00750DB7">
        <w:trPr>
          <w:trHeight w:val="322"/>
        </w:trPr>
        <w:tc>
          <w:tcPr>
            <w:tcW w:w="2405" w:type="dxa"/>
          </w:tcPr>
          <w:p w14:paraId="377518DE" w14:textId="77777777" w:rsidR="00940546" w:rsidRPr="00C3144A" w:rsidRDefault="00940546" w:rsidP="00C3144A">
            <w:pPr>
              <w:pStyle w:val="TableParagraph"/>
              <w:spacing w:before="19" w:line="360" w:lineRule="auto"/>
              <w:jc w:val="both"/>
              <w:rPr>
                <w:sz w:val="20"/>
                <w:szCs w:val="20"/>
              </w:rPr>
            </w:pPr>
            <w:r w:rsidRPr="00C3144A">
              <w:rPr>
                <w:sz w:val="20"/>
                <w:szCs w:val="20"/>
              </w:rPr>
              <w:t>Ankle-AH</w:t>
            </w:r>
          </w:p>
        </w:tc>
        <w:tc>
          <w:tcPr>
            <w:tcW w:w="1011" w:type="dxa"/>
          </w:tcPr>
          <w:p w14:paraId="2247C302" w14:textId="77777777" w:rsidR="00940546" w:rsidRPr="00C3144A" w:rsidRDefault="00940546" w:rsidP="00C3144A">
            <w:pPr>
              <w:pStyle w:val="TableParagraph"/>
              <w:spacing w:before="42" w:line="360" w:lineRule="auto"/>
              <w:ind w:left="24"/>
              <w:jc w:val="both"/>
              <w:rPr>
                <w:b/>
                <w:sz w:val="20"/>
                <w:szCs w:val="20"/>
              </w:rPr>
            </w:pPr>
            <w:r w:rsidRPr="00C3144A">
              <w:rPr>
                <w:b/>
                <w:sz w:val="20"/>
                <w:szCs w:val="20"/>
              </w:rPr>
              <w:t>8,3</w:t>
            </w:r>
          </w:p>
        </w:tc>
        <w:tc>
          <w:tcPr>
            <w:tcW w:w="1162" w:type="dxa"/>
          </w:tcPr>
          <w:p w14:paraId="3610ECB5" w14:textId="77777777" w:rsidR="00940546" w:rsidRPr="00C3144A" w:rsidRDefault="00940546" w:rsidP="00C3144A">
            <w:pPr>
              <w:pStyle w:val="TableParagraph"/>
              <w:spacing w:before="42" w:line="360" w:lineRule="auto"/>
              <w:ind w:left="360" w:right="337"/>
              <w:jc w:val="both"/>
              <w:rPr>
                <w:sz w:val="20"/>
                <w:szCs w:val="20"/>
              </w:rPr>
            </w:pPr>
            <w:r w:rsidRPr="00C3144A">
              <w:rPr>
                <w:sz w:val="20"/>
                <w:szCs w:val="20"/>
              </w:rPr>
              <w:t>100</w:t>
            </w:r>
          </w:p>
        </w:tc>
        <w:tc>
          <w:tcPr>
            <w:tcW w:w="1695" w:type="dxa"/>
          </w:tcPr>
          <w:p w14:paraId="4255B272" w14:textId="77777777" w:rsidR="00940546" w:rsidRPr="00C3144A" w:rsidRDefault="00940546" w:rsidP="00C3144A">
            <w:pPr>
              <w:pStyle w:val="TableParagraph"/>
              <w:spacing w:before="0" w:line="360" w:lineRule="auto"/>
              <w:ind w:left="0"/>
              <w:jc w:val="both"/>
              <w:rPr>
                <w:sz w:val="20"/>
                <w:szCs w:val="20"/>
              </w:rPr>
            </w:pPr>
          </w:p>
        </w:tc>
        <w:tc>
          <w:tcPr>
            <w:tcW w:w="1337" w:type="dxa"/>
          </w:tcPr>
          <w:p w14:paraId="6CAB9F52" w14:textId="77777777" w:rsidR="00940546" w:rsidRPr="00C3144A" w:rsidRDefault="00940546" w:rsidP="00C3144A">
            <w:pPr>
              <w:pStyle w:val="TableParagraph"/>
              <w:spacing w:before="42" w:line="360" w:lineRule="auto"/>
              <w:ind w:left="288" w:right="266"/>
              <w:jc w:val="both"/>
              <w:rPr>
                <w:sz w:val="20"/>
                <w:szCs w:val="20"/>
              </w:rPr>
            </w:pPr>
            <w:r w:rsidRPr="00C3144A">
              <w:rPr>
                <w:sz w:val="20"/>
                <w:szCs w:val="20"/>
              </w:rPr>
              <w:t>18,4</w:t>
            </w:r>
          </w:p>
        </w:tc>
        <w:tc>
          <w:tcPr>
            <w:tcW w:w="977" w:type="dxa"/>
          </w:tcPr>
          <w:p w14:paraId="0F0BF9D0" w14:textId="77777777" w:rsidR="00940546" w:rsidRPr="00C3144A" w:rsidRDefault="00940546" w:rsidP="00C3144A">
            <w:pPr>
              <w:pStyle w:val="TableParagraph"/>
              <w:spacing w:before="42" w:line="360" w:lineRule="auto"/>
              <w:ind w:left="74" w:right="58"/>
              <w:jc w:val="both"/>
              <w:rPr>
                <w:b/>
                <w:sz w:val="20"/>
                <w:szCs w:val="20"/>
              </w:rPr>
            </w:pPr>
            <w:r w:rsidRPr="00C3144A">
              <w:rPr>
                <w:b/>
                <w:sz w:val="20"/>
                <w:szCs w:val="20"/>
              </w:rPr>
              <w:t>2,2</w:t>
            </w:r>
          </w:p>
        </w:tc>
        <w:tc>
          <w:tcPr>
            <w:tcW w:w="1387" w:type="dxa"/>
          </w:tcPr>
          <w:p w14:paraId="597B5F20" w14:textId="77777777" w:rsidR="00940546" w:rsidRPr="00C3144A" w:rsidRDefault="00940546" w:rsidP="00C3144A">
            <w:pPr>
              <w:pStyle w:val="TableParagraph"/>
              <w:spacing w:before="0" w:line="360" w:lineRule="auto"/>
              <w:ind w:left="0"/>
              <w:jc w:val="both"/>
              <w:rPr>
                <w:sz w:val="20"/>
                <w:szCs w:val="20"/>
              </w:rPr>
            </w:pPr>
          </w:p>
        </w:tc>
      </w:tr>
      <w:tr w:rsidR="00940546" w:rsidRPr="00C3144A" w14:paraId="2D514413" w14:textId="77777777" w:rsidTr="00750DB7">
        <w:trPr>
          <w:trHeight w:val="322"/>
        </w:trPr>
        <w:tc>
          <w:tcPr>
            <w:tcW w:w="2405" w:type="dxa"/>
          </w:tcPr>
          <w:p w14:paraId="4AE0228B" w14:textId="77777777" w:rsidR="00940546" w:rsidRPr="00C3144A" w:rsidRDefault="00940546" w:rsidP="00C3144A">
            <w:pPr>
              <w:pStyle w:val="TableParagraph"/>
              <w:spacing w:before="16" w:line="360" w:lineRule="auto"/>
              <w:ind w:left="24"/>
              <w:jc w:val="both"/>
              <w:rPr>
                <w:sz w:val="20"/>
                <w:szCs w:val="20"/>
              </w:rPr>
            </w:pPr>
            <w:r w:rsidRPr="00C3144A">
              <w:rPr>
                <w:sz w:val="20"/>
                <w:szCs w:val="20"/>
              </w:rPr>
              <w:t>Knee-Ankle</w:t>
            </w:r>
          </w:p>
        </w:tc>
        <w:tc>
          <w:tcPr>
            <w:tcW w:w="1011" w:type="dxa"/>
          </w:tcPr>
          <w:p w14:paraId="139A0DE2" w14:textId="77777777" w:rsidR="00940546" w:rsidRPr="00C3144A" w:rsidRDefault="00940546" w:rsidP="00C3144A">
            <w:pPr>
              <w:pStyle w:val="TableParagraph"/>
              <w:spacing w:line="360" w:lineRule="auto"/>
              <w:ind w:left="25"/>
              <w:jc w:val="both"/>
              <w:rPr>
                <w:sz w:val="20"/>
                <w:szCs w:val="20"/>
              </w:rPr>
            </w:pPr>
            <w:r w:rsidRPr="00C3144A">
              <w:rPr>
                <w:sz w:val="20"/>
                <w:szCs w:val="20"/>
              </w:rPr>
              <w:t>17,9</w:t>
            </w:r>
          </w:p>
        </w:tc>
        <w:tc>
          <w:tcPr>
            <w:tcW w:w="1162" w:type="dxa"/>
          </w:tcPr>
          <w:p w14:paraId="18135359" w14:textId="77777777" w:rsidR="00940546" w:rsidRPr="00C3144A" w:rsidRDefault="00940546" w:rsidP="00C3144A">
            <w:pPr>
              <w:pStyle w:val="TableParagraph"/>
              <w:spacing w:line="360" w:lineRule="auto"/>
              <w:ind w:left="360" w:right="336"/>
              <w:jc w:val="both"/>
              <w:rPr>
                <w:sz w:val="20"/>
                <w:szCs w:val="20"/>
              </w:rPr>
            </w:pPr>
            <w:r w:rsidRPr="00C3144A">
              <w:rPr>
                <w:sz w:val="20"/>
                <w:szCs w:val="20"/>
              </w:rPr>
              <w:t>350</w:t>
            </w:r>
          </w:p>
        </w:tc>
        <w:tc>
          <w:tcPr>
            <w:tcW w:w="1695" w:type="dxa"/>
          </w:tcPr>
          <w:p w14:paraId="3871324F" w14:textId="77777777" w:rsidR="00940546" w:rsidRPr="00C3144A" w:rsidRDefault="00940546" w:rsidP="00C3144A">
            <w:pPr>
              <w:pStyle w:val="TableParagraph"/>
              <w:spacing w:line="360" w:lineRule="auto"/>
              <w:ind w:left="619" w:right="601"/>
              <w:jc w:val="both"/>
              <w:rPr>
                <w:b/>
                <w:sz w:val="20"/>
                <w:szCs w:val="20"/>
              </w:rPr>
            </w:pPr>
            <w:r w:rsidRPr="00C3144A">
              <w:rPr>
                <w:b/>
                <w:sz w:val="20"/>
                <w:szCs w:val="20"/>
              </w:rPr>
              <w:t>36,5</w:t>
            </w:r>
          </w:p>
        </w:tc>
        <w:tc>
          <w:tcPr>
            <w:tcW w:w="1337" w:type="dxa"/>
          </w:tcPr>
          <w:p w14:paraId="69A3C448" w14:textId="77777777" w:rsidR="00940546" w:rsidRPr="00C3144A" w:rsidRDefault="00940546" w:rsidP="00C3144A">
            <w:pPr>
              <w:pStyle w:val="TableParagraph"/>
              <w:spacing w:line="360" w:lineRule="auto"/>
              <w:ind w:left="288" w:right="266"/>
              <w:jc w:val="both"/>
              <w:rPr>
                <w:sz w:val="20"/>
                <w:szCs w:val="20"/>
              </w:rPr>
            </w:pPr>
            <w:r w:rsidRPr="00C3144A">
              <w:rPr>
                <w:sz w:val="20"/>
                <w:szCs w:val="20"/>
              </w:rPr>
              <w:t>19,7</w:t>
            </w:r>
          </w:p>
        </w:tc>
        <w:tc>
          <w:tcPr>
            <w:tcW w:w="977" w:type="dxa"/>
          </w:tcPr>
          <w:p w14:paraId="4AADF837" w14:textId="77777777" w:rsidR="00940546" w:rsidRPr="00C3144A" w:rsidRDefault="00940546" w:rsidP="00C3144A">
            <w:pPr>
              <w:pStyle w:val="TableParagraph"/>
              <w:spacing w:line="360" w:lineRule="auto"/>
              <w:ind w:left="74" w:right="57"/>
              <w:jc w:val="both"/>
              <w:rPr>
                <w:b/>
                <w:sz w:val="20"/>
                <w:szCs w:val="20"/>
              </w:rPr>
            </w:pPr>
            <w:r w:rsidRPr="00C3144A">
              <w:rPr>
                <w:b/>
                <w:sz w:val="20"/>
                <w:szCs w:val="20"/>
              </w:rPr>
              <w:t>2,5</w:t>
            </w:r>
          </w:p>
        </w:tc>
        <w:tc>
          <w:tcPr>
            <w:tcW w:w="1387" w:type="dxa"/>
          </w:tcPr>
          <w:p w14:paraId="0F182BB4" w14:textId="77777777" w:rsidR="00940546" w:rsidRPr="00C3144A" w:rsidRDefault="00940546" w:rsidP="00C3144A">
            <w:pPr>
              <w:pStyle w:val="TableParagraph"/>
              <w:spacing w:before="0" w:line="360" w:lineRule="auto"/>
              <w:ind w:left="0"/>
              <w:jc w:val="both"/>
              <w:rPr>
                <w:sz w:val="20"/>
                <w:szCs w:val="20"/>
              </w:rPr>
            </w:pPr>
          </w:p>
        </w:tc>
      </w:tr>
    </w:tbl>
    <w:p w14:paraId="21AD62C6" w14:textId="77777777" w:rsidR="00940546" w:rsidRPr="00C3144A" w:rsidRDefault="00940546" w:rsidP="00C3144A">
      <w:pPr>
        <w:pStyle w:val="BodyText"/>
        <w:spacing w:line="360" w:lineRule="auto"/>
        <w:jc w:val="both"/>
        <w:rPr>
          <w:sz w:val="20"/>
          <w:szCs w:val="20"/>
        </w:rPr>
      </w:pPr>
    </w:p>
    <w:p w14:paraId="13B2FF8D" w14:textId="77777777" w:rsidR="00940546" w:rsidRPr="00C3144A" w:rsidRDefault="00940546" w:rsidP="00C3144A">
      <w:pPr>
        <w:pStyle w:val="BodyText"/>
        <w:spacing w:before="5" w:line="360" w:lineRule="auto"/>
        <w:jc w:val="both"/>
        <w:rPr>
          <w:sz w:val="20"/>
          <w:szCs w:val="20"/>
        </w:rPr>
      </w:pPr>
    </w:p>
    <w:p w14:paraId="52747256" w14:textId="77777777" w:rsidR="00940546" w:rsidRDefault="00DE59D5" w:rsidP="00DE59D5">
      <w:pPr>
        <w:spacing w:line="360" w:lineRule="auto"/>
        <w:ind w:left="115"/>
        <w:jc w:val="both"/>
        <w:rPr>
          <w:b/>
          <w:sz w:val="20"/>
          <w:szCs w:val="20"/>
        </w:rPr>
      </w:pPr>
      <w:r w:rsidRPr="007178EF">
        <w:rPr>
          <w:b/>
          <w:sz w:val="20"/>
          <w:szCs w:val="20"/>
          <w:highlight w:val="yellow"/>
        </w:rPr>
        <w:t xml:space="preserve">Figures </w:t>
      </w:r>
      <w:r>
        <w:rPr>
          <w:b/>
          <w:sz w:val="20"/>
          <w:szCs w:val="20"/>
          <w:highlight w:val="yellow"/>
        </w:rPr>
        <w:t>13</w:t>
      </w:r>
      <w:r w:rsidRPr="007178EF">
        <w:rPr>
          <w:b/>
          <w:sz w:val="20"/>
          <w:szCs w:val="20"/>
          <w:highlight w:val="yellow"/>
        </w:rPr>
        <w:t xml:space="preserve">, </w:t>
      </w:r>
      <w:r>
        <w:rPr>
          <w:b/>
          <w:sz w:val="20"/>
          <w:szCs w:val="20"/>
          <w:highlight w:val="yellow"/>
        </w:rPr>
        <w:t xml:space="preserve">14 </w:t>
      </w:r>
      <w:r w:rsidRPr="007178EF">
        <w:rPr>
          <w:b/>
          <w:sz w:val="20"/>
          <w:szCs w:val="20"/>
          <w:highlight w:val="yellow"/>
        </w:rPr>
        <w:t xml:space="preserve">and </w:t>
      </w:r>
      <w:r>
        <w:rPr>
          <w:b/>
          <w:sz w:val="20"/>
          <w:szCs w:val="20"/>
          <w:highlight w:val="yellow"/>
        </w:rPr>
        <w:t xml:space="preserve">15 </w:t>
      </w:r>
      <w:r w:rsidRPr="007178EF">
        <w:rPr>
          <w:b/>
          <w:sz w:val="20"/>
          <w:szCs w:val="20"/>
          <w:highlight w:val="yellow"/>
        </w:rPr>
        <w:t>Insert Here</w:t>
      </w:r>
    </w:p>
    <w:p w14:paraId="2B732633" w14:textId="77777777" w:rsidR="00DE59D5" w:rsidRDefault="00DE59D5" w:rsidP="00DE59D5">
      <w:pPr>
        <w:spacing w:line="360" w:lineRule="auto"/>
        <w:ind w:left="115"/>
        <w:jc w:val="both"/>
        <w:rPr>
          <w:b/>
          <w:sz w:val="20"/>
          <w:szCs w:val="20"/>
        </w:rPr>
      </w:pPr>
    </w:p>
    <w:tbl>
      <w:tblPr>
        <w:tblW w:w="0" w:type="auto"/>
        <w:tblInd w:w="135" w:type="dxa"/>
        <w:tblBorders>
          <w:top w:val="single" w:sz="12" w:space="0" w:color="CDCDCD"/>
          <w:left w:val="single" w:sz="12" w:space="0" w:color="CDCDCD"/>
          <w:bottom w:val="single" w:sz="12" w:space="0" w:color="CDCDCD"/>
          <w:right w:val="single" w:sz="12" w:space="0" w:color="CDCDCD"/>
          <w:insideH w:val="single" w:sz="12" w:space="0" w:color="CDCDCD"/>
          <w:insideV w:val="single" w:sz="12" w:space="0" w:color="CDCDCD"/>
        </w:tblBorders>
        <w:tblLayout w:type="fixed"/>
        <w:tblCellMar>
          <w:left w:w="0" w:type="dxa"/>
          <w:right w:w="0" w:type="dxa"/>
        </w:tblCellMar>
        <w:tblLook w:val="01E0" w:firstRow="1" w:lastRow="1" w:firstColumn="1" w:lastColumn="1" w:noHBand="0" w:noVBand="0"/>
      </w:tblPr>
      <w:tblGrid>
        <w:gridCol w:w="3118"/>
        <w:gridCol w:w="872"/>
        <w:gridCol w:w="1506"/>
        <w:gridCol w:w="1928"/>
        <w:gridCol w:w="973"/>
        <w:gridCol w:w="1580"/>
      </w:tblGrid>
      <w:tr w:rsidR="00940546" w:rsidRPr="00C3144A" w14:paraId="4CB95258" w14:textId="77777777" w:rsidTr="00750DB7">
        <w:trPr>
          <w:trHeight w:val="274"/>
        </w:trPr>
        <w:tc>
          <w:tcPr>
            <w:tcW w:w="3118" w:type="dxa"/>
          </w:tcPr>
          <w:p w14:paraId="1BF72A9E" w14:textId="77777777" w:rsidR="00940546" w:rsidRPr="00C3144A" w:rsidRDefault="00940546" w:rsidP="00C3144A">
            <w:pPr>
              <w:pStyle w:val="TableParagraph"/>
              <w:spacing w:before="15" w:line="360" w:lineRule="auto"/>
              <w:jc w:val="both"/>
              <w:rPr>
                <w:b/>
                <w:sz w:val="20"/>
                <w:szCs w:val="20"/>
              </w:rPr>
            </w:pPr>
            <w:r w:rsidRPr="00C3144A">
              <w:rPr>
                <w:b/>
                <w:sz w:val="20"/>
                <w:szCs w:val="20"/>
              </w:rPr>
              <w:t>Sensory</w:t>
            </w:r>
          </w:p>
        </w:tc>
        <w:tc>
          <w:tcPr>
            <w:tcW w:w="872" w:type="dxa"/>
          </w:tcPr>
          <w:p w14:paraId="742AB9A6" w14:textId="77777777" w:rsidR="00940546" w:rsidRPr="00C3144A" w:rsidRDefault="00940546" w:rsidP="00C3144A">
            <w:pPr>
              <w:pStyle w:val="TableParagraph"/>
              <w:spacing w:before="15" w:line="360" w:lineRule="auto"/>
              <w:ind w:left="206" w:right="233"/>
              <w:jc w:val="both"/>
              <w:rPr>
                <w:b/>
                <w:sz w:val="20"/>
                <w:szCs w:val="20"/>
              </w:rPr>
            </w:pPr>
            <w:proofErr w:type="spellStart"/>
            <w:r w:rsidRPr="00C3144A">
              <w:rPr>
                <w:b/>
                <w:sz w:val="20"/>
                <w:szCs w:val="20"/>
              </w:rPr>
              <w:t>Dist</w:t>
            </w:r>
            <w:proofErr w:type="spellEnd"/>
          </w:p>
        </w:tc>
        <w:tc>
          <w:tcPr>
            <w:tcW w:w="1506" w:type="dxa"/>
          </w:tcPr>
          <w:p w14:paraId="262115BC" w14:textId="77777777" w:rsidR="00940546" w:rsidRPr="00C3144A" w:rsidRDefault="00940546" w:rsidP="00C3144A">
            <w:pPr>
              <w:pStyle w:val="TableParagraph"/>
              <w:spacing w:before="15" w:line="360" w:lineRule="auto"/>
              <w:ind w:left="355" w:right="339"/>
              <w:jc w:val="both"/>
              <w:rPr>
                <w:b/>
                <w:sz w:val="20"/>
                <w:szCs w:val="20"/>
              </w:rPr>
            </w:pPr>
            <w:r w:rsidRPr="00C3144A">
              <w:rPr>
                <w:b/>
                <w:sz w:val="20"/>
                <w:szCs w:val="20"/>
              </w:rPr>
              <w:t>Lat 1pos</w:t>
            </w:r>
          </w:p>
        </w:tc>
        <w:tc>
          <w:tcPr>
            <w:tcW w:w="1928" w:type="dxa"/>
          </w:tcPr>
          <w:p w14:paraId="5E4B8DA9" w14:textId="77777777" w:rsidR="00940546" w:rsidRPr="00C3144A" w:rsidRDefault="00940546" w:rsidP="00C3144A">
            <w:pPr>
              <w:pStyle w:val="TableParagraph"/>
              <w:spacing w:before="15" w:line="360" w:lineRule="auto"/>
              <w:ind w:left="443" w:right="430"/>
              <w:jc w:val="both"/>
              <w:rPr>
                <w:b/>
                <w:sz w:val="20"/>
                <w:szCs w:val="20"/>
              </w:rPr>
            </w:pPr>
            <w:r w:rsidRPr="00C3144A">
              <w:rPr>
                <w:b/>
                <w:sz w:val="20"/>
                <w:szCs w:val="20"/>
              </w:rPr>
              <w:t>Amp pk-pk</w:t>
            </w:r>
          </w:p>
        </w:tc>
        <w:tc>
          <w:tcPr>
            <w:tcW w:w="973" w:type="dxa"/>
          </w:tcPr>
          <w:p w14:paraId="1386675C" w14:textId="77777777" w:rsidR="00940546" w:rsidRPr="00C3144A" w:rsidRDefault="00940546" w:rsidP="00C3144A">
            <w:pPr>
              <w:pStyle w:val="TableParagraph"/>
              <w:spacing w:before="15" w:line="360" w:lineRule="auto"/>
              <w:ind w:left="236" w:right="270"/>
              <w:jc w:val="both"/>
              <w:rPr>
                <w:b/>
                <w:sz w:val="20"/>
                <w:szCs w:val="20"/>
              </w:rPr>
            </w:pPr>
            <w:proofErr w:type="spellStart"/>
            <w:r w:rsidRPr="00C3144A">
              <w:rPr>
                <w:b/>
                <w:sz w:val="20"/>
                <w:szCs w:val="20"/>
              </w:rPr>
              <w:t>Vcs</w:t>
            </w:r>
            <w:proofErr w:type="spellEnd"/>
          </w:p>
        </w:tc>
        <w:tc>
          <w:tcPr>
            <w:tcW w:w="1580" w:type="dxa"/>
          </w:tcPr>
          <w:p w14:paraId="2637FB88" w14:textId="77777777" w:rsidR="00940546" w:rsidRPr="00C3144A" w:rsidRDefault="00940546" w:rsidP="00C3144A">
            <w:pPr>
              <w:pStyle w:val="TableParagraph"/>
              <w:spacing w:before="15" w:line="360" w:lineRule="auto"/>
              <w:ind w:left="374" w:right="362"/>
              <w:jc w:val="both"/>
              <w:rPr>
                <w:b/>
                <w:sz w:val="20"/>
                <w:szCs w:val="20"/>
              </w:rPr>
            </w:pPr>
            <w:r w:rsidRPr="00C3144A">
              <w:rPr>
                <w:b/>
                <w:sz w:val="20"/>
                <w:szCs w:val="20"/>
              </w:rPr>
              <w:t>Amp neg</w:t>
            </w:r>
          </w:p>
        </w:tc>
      </w:tr>
      <w:tr w:rsidR="00940546" w:rsidRPr="00C3144A" w14:paraId="182889D8" w14:textId="77777777" w:rsidTr="00750DB7">
        <w:trPr>
          <w:trHeight w:val="277"/>
        </w:trPr>
        <w:tc>
          <w:tcPr>
            <w:tcW w:w="3118" w:type="dxa"/>
          </w:tcPr>
          <w:p w14:paraId="7C98CDCF" w14:textId="77777777" w:rsidR="00940546" w:rsidRPr="00C3144A" w:rsidRDefault="00940546" w:rsidP="00C3144A">
            <w:pPr>
              <w:pStyle w:val="TableParagraph"/>
              <w:spacing w:before="0" w:line="360" w:lineRule="auto"/>
              <w:ind w:left="0"/>
              <w:jc w:val="both"/>
              <w:rPr>
                <w:sz w:val="20"/>
                <w:szCs w:val="20"/>
              </w:rPr>
            </w:pPr>
          </w:p>
        </w:tc>
        <w:tc>
          <w:tcPr>
            <w:tcW w:w="872" w:type="dxa"/>
          </w:tcPr>
          <w:p w14:paraId="0D1C8838" w14:textId="77777777" w:rsidR="00940546" w:rsidRPr="00C3144A" w:rsidRDefault="00940546" w:rsidP="00C3144A">
            <w:pPr>
              <w:pStyle w:val="TableParagraph"/>
              <w:spacing w:before="18" w:line="360" w:lineRule="auto"/>
              <w:ind w:left="215" w:right="192"/>
              <w:jc w:val="both"/>
              <w:rPr>
                <w:sz w:val="20"/>
                <w:szCs w:val="20"/>
              </w:rPr>
            </w:pPr>
            <w:r w:rsidRPr="00C3144A">
              <w:rPr>
                <w:sz w:val="20"/>
                <w:szCs w:val="20"/>
              </w:rPr>
              <w:t>mm</w:t>
            </w:r>
          </w:p>
        </w:tc>
        <w:tc>
          <w:tcPr>
            <w:tcW w:w="1506" w:type="dxa"/>
          </w:tcPr>
          <w:p w14:paraId="1AA2964D" w14:textId="77777777" w:rsidR="00940546" w:rsidRPr="00C3144A" w:rsidRDefault="00940546" w:rsidP="00C3144A">
            <w:pPr>
              <w:pStyle w:val="TableParagraph"/>
              <w:spacing w:before="18" w:line="360" w:lineRule="auto"/>
              <w:ind w:left="355" w:right="334"/>
              <w:jc w:val="both"/>
              <w:rPr>
                <w:sz w:val="20"/>
                <w:szCs w:val="20"/>
              </w:rPr>
            </w:pPr>
            <w:proofErr w:type="spellStart"/>
            <w:r w:rsidRPr="00C3144A">
              <w:rPr>
                <w:sz w:val="20"/>
                <w:szCs w:val="20"/>
              </w:rPr>
              <w:t>ms</w:t>
            </w:r>
            <w:proofErr w:type="spellEnd"/>
          </w:p>
        </w:tc>
        <w:tc>
          <w:tcPr>
            <w:tcW w:w="1928" w:type="dxa"/>
          </w:tcPr>
          <w:p w14:paraId="6A6CC629" w14:textId="77777777" w:rsidR="00940546" w:rsidRPr="00C3144A" w:rsidRDefault="00940546" w:rsidP="00C3144A">
            <w:pPr>
              <w:pStyle w:val="TableParagraph"/>
              <w:spacing w:before="18" w:line="360" w:lineRule="auto"/>
              <w:ind w:left="443" w:right="425"/>
              <w:jc w:val="both"/>
              <w:rPr>
                <w:sz w:val="20"/>
                <w:szCs w:val="20"/>
              </w:rPr>
            </w:pPr>
            <w:proofErr w:type="spellStart"/>
            <w:r w:rsidRPr="00C3144A">
              <w:rPr>
                <w:sz w:val="20"/>
                <w:szCs w:val="20"/>
              </w:rPr>
              <w:t>μV</w:t>
            </w:r>
            <w:proofErr w:type="spellEnd"/>
          </w:p>
        </w:tc>
        <w:tc>
          <w:tcPr>
            <w:tcW w:w="973" w:type="dxa"/>
          </w:tcPr>
          <w:p w14:paraId="69FB09F4" w14:textId="77777777" w:rsidR="00940546" w:rsidRPr="00C3144A" w:rsidRDefault="00940546" w:rsidP="00C3144A">
            <w:pPr>
              <w:pStyle w:val="TableParagraph"/>
              <w:spacing w:before="18" w:line="360" w:lineRule="auto"/>
              <w:ind w:left="278" w:right="264"/>
              <w:jc w:val="both"/>
              <w:rPr>
                <w:sz w:val="20"/>
                <w:szCs w:val="20"/>
              </w:rPr>
            </w:pPr>
            <w:r w:rsidRPr="00C3144A">
              <w:rPr>
                <w:sz w:val="20"/>
                <w:szCs w:val="20"/>
              </w:rPr>
              <w:t>m/s</w:t>
            </w:r>
          </w:p>
        </w:tc>
        <w:tc>
          <w:tcPr>
            <w:tcW w:w="1580" w:type="dxa"/>
          </w:tcPr>
          <w:p w14:paraId="5EB9C788" w14:textId="77777777" w:rsidR="00940546" w:rsidRPr="00C3144A" w:rsidRDefault="00940546" w:rsidP="00C3144A">
            <w:pPr>
              <w:pStyle w:val="TableParagraph"/>
              <w:spacing w:before="18" w:line="360" w:lineRule="auto"/>
              <w:ind w:left="374" w:right="360"/>
              <w:jc w:val="both"/>
              <w:rPr>
                <w:sz w:val="20"/>
                <w:szCs w:val="20"/>
              </w:rPr>
            </w:pPr>
            <w:proofErr w:type="spellStart"/>
            <w:r w:rsidRPr="00C3144A">
              <w:rPr>
                <w:sz w:val="20"/>
                <w:szCs w:val="20"/>
              </w:rPr>
              <w:t>μV</w:t>
            </w:r>
            <w:proofErr w:type="spellEnd"/>
          </w:p>
        </w:tc>
      </w:tr>
      <w:tr w:rsidR="00940546" w:rsidRPr="00C3144A" w14:paraId="49F75217" w14:textId="77777777" w:rsidTr="00750DB7">
        <w:trPr>
          <w:trHeight w:val="277"/>
        </w:trPr>
        <w:tc>
          <w:tcPr>
            <w:tcW w:w="9977" w:type="dxa"/>
            <w:gridSpan w:val="6"/>
          </w:tcPr>
          <w:p w14:paraId="663CEA59" w14:textId="77777777" w:rsidR="00940546" w:rsidRPr="00C3144A" w:rsidRDefault="00940546" w:rsidP="00C3144A">
            <w:pPr>
              <w:pStyle w:val="TableParagraph"/>
              <w:spacing w:before="18" w:line="360" w:lineRule="auto"/>
              <w:jc w:val="both"/>
              <w:rPr>
                <w:b/>
                <w:sz w:val="20"/>
                <w:szCs w:val="20"/>
              </w:rPr>
            </w:pPr>
            <w:proofErr w:type="spellStart"/>
            <w:r w:rsidRPr="00C3144A">
              <w:rPr>
                <w:b/>
                <w:sz w:val="20"/>
                <w:szCs w:val="20"/>
              </w:rPr>
              <w:t>Medianus</w:t>
            </w:r>
            <w:proofErr w:type="spellEnd"/>
            <w:r w:rsidRPr="00C3144A">
              <w:rPr>
                <w:b/>
                <w:sz w:val="20"/>
                <w:szCs w:val="20"/>
              </w:rPr>
              <w:t xml:space="preserve"> Anti (Left)</w:t>
            </w:r>
          </w:p>
        </w:tc>
      </w:tr>
      <w:tr w:rsidR="00940546" w:rsidRPr="00C3144A" w14:paraId="3DC8A042" w14:textId="77777777" w:rsidTr="00750DB7">
        <w:trPr>
          <w:trHeight w:val="277"/>
        </w:trPr>
        <w:tc>
          <w:tcPr>
            <w:tcW w:w="3118" w:type="dxa"/>
          </w:tcPr>
          <w:p w14:paraId="30151C91" w14:textId="77777777" w:rsidR="00940546" w:rsidRPr="00C3144A" w:rsidRDefault="00940546" w:rsidP="00C3144A">
            <w:pPr>
              <w:pStyle w:val="TableParagraph"/>
              <w:spacing w:before="18" w:line="360" w:lineRule="auto"/>
              <w:jc w:val="both"/>
              <w:rPr>
                <w:sz w:val="20"/>
                <w:szCs w:val="20"/>
              </w:rPr>
            </w:pPr>
            <w:r w:rsidRPr="00C3144A">
              <w:rPr>
                <w:sz w:val="20"/>
                <w:szCs w:val="20"/>
              </w:rPr>
              <w:t>Wrist - Palm</w:t>
            </w:r>
          </w:p>
        </w:tc>
        <w:tc>
          <w:tcPr>
            <w:tcW w:w="872" w:type="dxa"/>
          </w:tcPr>
          <w:p w14:paraId="34F5A2D8" w14:textId="77777777" w:rsidR="00940546" w:rsidRPr="00C3144A" w:rsidRDefault="00940546" w:rsidP="00C3144A">
            <w:pPr>
              <w:pStyle w:val="TableParagraph"/>
              <w:spacing w:before="18" w:line="360" w:lineRule="auto"/>
              <w:jc w:val="both"/>
              <w:rPr>
                <w:sz w:val="20"/>
                <w:szCs w:val="20"/>
              </w:rPr>
            </w:pPr>
            <w:r w:rsidRPr="00C3144A">
              <w:rPr>
                <w:w w:val="99"/>
                <w:sz w:val="20"/>
                <w:szCs w:val="20"/>
              </w:rPr>
              <w:t>0</w:t>
            </w:r>
          </w:p>
        </w:tc>
        <w:tc>
          <w:tcPr>
            <w:tcW w:w="1506" w:type="dxa"/>
          </w:tcPr>
          <w:p w14:paraId="4E750CD6" w14:textId="77777777" w:rsidR="00940546" w:rsidRPr="00C3144A" w:rsidRDefault="00940546" w:rsidP="00C3144A">
            <w:pPr>
              <w:pStyle w:val="TableParagraph"/>
              <w:spacing w:before="18" w:line="360" w:lineRule="auto"/>
              <w:ind w:left="355" w:right="334"/>
              <w:jc w:val="both"/>
              <w:rPr>
                <w:sz w:val="20"/>
                <w:szCs w:val="20"/>
              </w:rPr>
            </w:pPr>
            <w:r w:rsidRPr="00C3144A">
              <w:rPr>
                <w:sz w:val="20"/>
                <w:szCs w:val="20"/>
              </w:rPr>
              <w:t>***</w:t>
            </w:r>
          </w:p>
        </w:tc>
        <w:tc>
          <w:tcPr>
            <w:tcW w:w="1928" w:type="dxa"/>
          </w:tcPr>
          <w:p w14:paraId="7B7A5BCF" w14:textId="77777777" w:rsidR="00940546" w:rsidRPr="00C3144A" w:rsidRDefault="00940546" w:rsidP="00C3144A">
            <w:pPr>
              <w:pStyle w:val="TableParagraph"/>
              <w:spacing w:before="18" w:line="360" w:lineRule="auto"/>
              <w:ind w:left="443" w:right="426"/>
              <w:jc w:val="both"/>
              <w:rPr>
                <w:sz w:val="20"/>
                <w:szCs w:val="20"/>
              </w:rPr>
            </w:pPr>
            <w:r w:rsidRPr="00C3144A">
              <w:rPr>
                <w:sz w:val="20"/>
                <w:szCs w:val="20"/>
              </w:rPr>
              <w:t>***</w:t>
            </w:r>
          </w:p>
        </w:tc>
        <w:tc>
          <w:tcPr>
            <w:tcW w:w="973" w:type="dxa"/>
          </w:tcPr>
          <w:p w14:paraId="20210DE3" w14:textId="77777777" w:rsidR="00940546" w:rsidRPr="00C3144A" w:rsidRDefault="00940546" w:rsidP="00C3144A">
            <w:pPr>
              <w:pStyle w:val="TableParagraph"/>
              <w:spacing w:before="18" w:line="360" w:lineRule="auto"/>
              <w:ind w:left="278" w:right="261"/>
              <w:jc w:val="both"/>
              <w:rPr>
                <w:sz w:val="20"/>
                <w:szCs w:val="20"/>
              </w:rPr>
            </w:pPr>
            <w:r w:rsidRPr="00C3144A">
              <w:rPr>
                <w:sz w:val="20"/>
                <w:szCs w:val="20"/>
              </w:rPr>
              <w:t>***</w:t>
            </w:r>
          </w:p>
        </w:tc>
        <w:tc>
          <w:tcPr>
            <w:tcW w:w="1580" w:type="dxa"/>
          </w:tcPr>
          <w:p w14:paraId="2F1E7058" w14:textId="77777777" w:rsidR="00940546" w:rsidRPr="00C3144A" w:rsidRDefault="00940546" w:rsidP="00C3144A">
            <w:pPr>
              <w:pStyle w:val="TableParagraph"/>
              <w:spacing w:before="18" w:line="360" w:lineRule="auto"/>
              <w:ind w:left="374" w:right="358"/>
              <w:jc w:val="both"/>
              <w:rPr>
                <w:sz w:val="20"/>
                <w:szCs w:val="20"/>
              </w:rPr>
            </w:pPr>
            <w:r w:rsidRPr="00C3144A">
              <w:rPr>
                <w:sz w:val="20"/>
                <w:szCs w:val="20"/>
              </w:rPr>
              <w:t>***</w:t>
            </w:r>
          </w:p>
        </w:tc>
      </w:tr>
      <w:tr w:rsidR="00940546" w:rsidRPr="00C3144A" w14:paraId="524236AF" w14:textId="77777777" w:rsidTr="00750DB7">
        <w:trPr>
          <w:trHeight w:val="277"/>
        </w:trPr>
        <w:tc>
          <w:tcPr>
            <w:tcW w:w="9977" w:type="dxa"/>
            <w:gridSpan w:val="6"/>
          </w:tcPr>
          <w:p w14:paraId="54B8D7F8" w14:textId="77777777" w:rsidR="00940546" w:rsidRPr="00C3144A" w:rsidRDefault="00940546" w:rsidP="00C3144A">
            <w:pPr>
              <w:pStyle w:val="TableParagraph"/>
              <w:spacing w:before="18" w:line="360" w:lineRule="auto"/>
              <w:jc w:val="both"/>
              <w:rPr>
                <w:b/>
                <w:sz w:val="20"/>
                <w:szCs w:val="20"/>
              </w:rPr>
            </w:pPr>
            <w:r w:rsidRPr="00C3144A">
              <w:rPr>
                <w:b/>
                <w:sz w:val="20"/>
                <w:szCs w:val="20"/>
              </w:rPr>
              <w:t>Ulnaris Anti (Left)</w:t>
            </w:r>
          </w:p>
        </w:tc>
      </w:tr>
      <w:tr w:rsidR="00940546" w:rsidRPr="00C3144A" w14:paraId="31D198C9" w14:textId="77777777" w:rsidTr="00750DB7">
        <w:trPr>
          <w:trHeight w:val="277"/>
        </w:trPr>
        <w:tc>
          <w:tcPr>
            <w:tcW w:w="3118" w:type="dxa"/>
          </w:tcPr>
          <w:p w14:paraId="5138BF80" w14:textId="77777777" w:rsidR="00940546" w:rsidRPr="00C3144A" w:rsidRDefault="00940546" w:rsidP="00C3144A">
            <w:pPr>
              <w:pStyle w:val="TableParagraph"/>
              <w:spacing w:before="18" w:line="360" w:lineRule="auto"/>
              <w:jc w:val="both"/>
              <w:rPr>
                <w:sz w:val="20"/>
                <w:szCs w:val="20"/>
              </w:rPr>
            </w:pPr>
            <w:r w:rsidRPr="00C3144A">
              <w:rPr>
                <w:sz w:val="20"/>
                <w:szCs w:val="20"/>
              </w:rPr>
              <w:t>Wrist – Digit V</w:t>
            </w:r>
          </w:p>
        </w:tc>
        <w:tc>
          <w:tcPr>
            <w:tcW w:w="872" w:type="dxa"/>
          </w:tcPr>
          <w:p w14:paraId="091768DF" w14:textId="77777777" w:rsidR="00940546" w:rsidRPr="00C3144A" w:rsidRDefault="00940546" w:rsidP="00C3144A">
            <w:pPr>
              <w:pStyle w:val="TableParagraph"/>
              <w:spacing w:before="18" w:line="360" w:lineRule="auto"/>
              <w:jc w:val="both"/>
              <w:rPr>
                <w:sz w:val="20"/>
                <w:szCs w:val="20"/>
              </w:rPr>
            </w:pPr>
            <w:r w:rsidRPr="00C3144A">
              <w:rPr>
                <w:w w:val="99"/>
                <w:sz w:val="20"/>
                <w:szCs w:val="20"/>
              </w:rPr>
              <w:t>0</w:t>
            </w:r>
          </w:p>
        </w:tc>
        <w:tc>
          <w:tcPr>
            <w:tcW w:w="1506" w:type="dxa"/>
          </w:tcPr>
          <w:p w14:paraId="621EDE8B" w14:textId="77777777" w:rsidR="00940546" w:rsidRPr="00C3144A" w:rsidRDefault="00940546" w:rsidP="00C3144A">
            <w:pPr>
              <w:pStyle w:val="TableParagraph"/>
              <w:spacing w:before="18" w:line="360" w:lineRule="auto"/>
              <w:ind w:left="355" w:right="334"/>
              <w:jc w:val="both"/>
              <w:rPr>
                <w:sz w:val="20"/>
                <w:szCs w:val="20"/>
              </w:rPr>
            </w:pPr>
            <w:r w:rsidRPr="00C3144A">
              <w:rPr>
                <w:sz w:val="20"/>
                <w:szCs w:val="20"/>
              </w:rPr>
              <w:t>***</w:t>
            </w:r>
          </w:p>
        </w:tc>
        <w:tc>
          <w:tcPr>
            <w:tcW w:w="1928" w:type="dxa"/>
          </w:tcPr>
          <w:p w14:paraId="554C68CA" w14:textId="77777777" w:rsidR="00940546" w:rsidRPr="00C3144A" w:rsidRDefault="00940546" w:rsidP="00C3144A">
            <w:pPr>
              <w:pStyle w:val="TableParagraph"/>
              <w:spacing w:before="18" w:line="360" w:lineRule="auto"/>
              <w:ind w:left="443" w:right="426"/>
              <w:jc w:val="both"/>
              <w:rPr>
                <w:sz w:val="20"/>
                <w:szCs w:val="20"/>
              </w:rPr>
            </w:pPr>
            <w:r w:rsidRPr="00C3144A">
              <w:rPr>
                <w:sz w:val="20"/>
                <w:szCs w:val="20"/>
              </w:rPr>
              <w:t>***</w:t>
            </w:r>
          </w:p>
        </w:tc>
        <w:tc>
          <w:tcPr>
            <w:tcW w:w="973" w:type="dxa"/>
          </w:tcPr>
          <w:p w14:paraId="6F5CF59B" w14:textId="77777777" w:rsidR="00940546" w:rsidRPr="00C3144A" w:rsidRDefault="00940546" w:rsidP="00C3144A">
            <w:pPr>
              <w:pStyle w:val="TableParagraph"/>
              <w:spacing w:before="18" w:line="360" w:lineRule="auto"/>
              <w:ind w:left="278" w:right="261"/>
              <w:jc w:val="both"/>
              <w:rPr>
                <w:sz w:val="20"/>
                <w:szCs w:val="20"/>
              </w:rPr>
            </w:pPr>
            <w:r w:rsidRPr="00C3144A">
              <w:rPr>
                <w:sz w:val="20"/>
                <w:szCs w:val="20"/>
              </w:rPr>
              <w:t>***</w:t>
            </w:r>
          </w:p>
        </w:tc>
        <w:tc>
          <w:tcPr>
            <w:tcW w:w="1580" w:type="dxa"/>
          </w:tcPr>
          <w:p w14:paraId="5C472E8C" w14:textId="77777777" w:rsidR="00940546" w:rsidRPr="00C3144A" w:rsidRDefault="00940546" w:rsidP="00C3144A">
            <w:pPr>
              <w:pStyle w:val="TableParagraph"/>
              <w:spacing w:before="0" w:line="360" w:lineRule="auto"/>
              <w:ind w:left="0"/>
              <w:jc w:val="both"/>
              <w:rPr>
                <w:sz w:val="20"/>
                <w:szCs w:val="20"/>
              </w:rPr>
            </w:pPr>
          </w:p>
        </w:tc>
      </w:tr>
      <w:tr w:rsidR="00940546" w:rsidRPr="00C3144A" w14:paraId="1D035DDD" w14:textId="77777777" w:rsidTr="00750DB7">
        <w:trPr>
          <w:trHeight w:val="277"/>
        </w:trPr>
        <w:tc>
          <w:tcPr>
            <w:tcW w:w="9977" w:type="dxa"/>
            <w:gridSpan w:val="6"/>
          </w:tcPr>
          <w:p w14:paraId="50DF2E63" w14:textId="77777777" w:rsidR="00940546" w:rsidRPr="00C3144A" w:rsidRDefault="00940546" w:rsidP="00C3144A">
            <w:pPr>
              <w:pStyle w:val="TableParagraph"/>
              <w:spacing w:before="18" w:line="360" w:lineRule="auto"/>
              <w:jc w:val="both"/>
              <w:rPr>
                <w:b/>
                <w:sz w:val="20"/>
                <w:szCs w:val="20"/>
              </w:rPr>
            </w:pPr>
            <w:proofErr w:type="spellStart"/>
            <w:r w:rsidRPr="00C3144A">
              <w:rPr>
                <w:b/>
                <w:sz w:val="20"/>
                <w:szCs w:val="20"/>
              </w:rPr>
              <w:t>Suralis</w:t>
            </w:r>
            <w:proofErr w:type="spellEnd"/>
            <w:r w:rsidRPr="00C3144A">
              <w:rPr>
                <w:b/>
                <w:sz w:val="20"/>
                <w:szCs w:val="20"/>
              </w:rPr>
              <w:t xml:space="preserve"> Anti (Left)</w:t>
            </w:r>
          </w:p>
        </w:tc>
      </w:tr>
      <w:tr w:rsidR="00940546" w:rsidRPr="00C3144A" w14:paraId="1EBD1FDD" w14:textId="77777777" w:rsidTr="00750DB7">
        <w:trPr>
          <w:trHeight w:val="322"/>
        </w:trPr>
        <w:tc>
          <w:tcPr>
            <w:tcW w:w="3118" w:type="dxa"/>
          </w:tcPr>
          <w:p w14:paraId="2534AF38" w14:textId="77777777" w:rsidR="00940546" w:rsidRPr="00C3144A" w:rsidRDefault="00940546" w:rsidP="00C3144A">
            <w:pPr>
              <w:pStyle w:val="TableParagraph"/>
              <w:spacing w:before="16" w:line="360" w:lineRule="auto"/>
              <w:jc w:val="both"/>
              <w:rPr>
                <w:sz w:val="20"/>
                <w:szCs w:val="20"/>
              </w:rPr>
            </w:pPr>
            <w:r w:rsidRPr="00C3144A">
              <w:rPr>
                <w:sz w:val="20"/>
                <w:szCs w:val="20"/>
              </w:rPr>
              <w:t xml:space="preserve">Calf - </w:t>
            </w:r>
            <w:proofErr w:type="spellStart"/>
            <w:r w:rsidRPr="00C3144A">
              <w:rPr>
                <w:sz w:val="20"/>
                <w:szCs w:val="20"/>
              </w:rPr>
              <w:t>Malleolo</w:t>
            </w:r>
            <w:proofErr w:type="spellEnd"/>
            <w:r w:rsidRPr="00C3144A">
              <w:rPr>
                <w:sz w:val="20"/>
                <w:szCs w:val="20"/>
              </w:rPr>
              <w:t xml:space="preserve"> </w:t>
            </w:r>
            <w:proofErr w:type="spellStart"/>
            <w:r w:rsidRPr="00C3144A">
              <w:rPr>
                <w:sz w:val="20"/>
                <w:szCs w:val="20"/>
              </w:rPr>
              <w:t>Lat</w:t>
            </w:r>
            <w:proofErr w:type="spellEnd"/>
          </w:p>
        </w:tc>
        <w:tc>
          <w:tcPr>
            <w:tcW w:w="872" w:type="dxa"/>
          </w:tcPr>
          <w:p w14:paraId="7132B934" w14:textId="77777777" w:rsidR="00940546" w:rsidRPr="00C3144A" w:rsidRDefault="00940546" w:rsidP="00C3144A">
            <w:pPr>
              <w:pStyle w:val="TableParagraph"/>
              <w:spacing w:line="360" w:lineRule="auto"/>
              <w:ind w:left="215" w:right="192"/>
              <w:jc w:val="both"/>
              <w:rPr>
                <w:sz w:val="20"/>
                <w:szCs w:val="20"/>
              </w:rPr>
            </w:pPr>
            <w:r w:rsidRPr="00C3144A">
              <w:rPr>
                <w:sz w:val="20"/>
                <w:szCs w:val="20"/>
              </w:rPr>
              <w:t>140</w:t>
            </w:r>
          </w:p>
        </w:tc>
        <w:tc>
          <w:tcPr>
            <w:tcW w:w="1506" w:type="dxa"/>
          </w:tcPr>
          <w:p w14:paraId="41F7F321" w14:textId="77777777" w:rsidR="00940546" w:rsidRPr="00C3144A" w:rsidRDefault="00940546" w:rsidP="00C3144A">
            <w:pPr>
              <w:pStyle w:val="TableParagraph"/>
              <w:spacing w:line="360" w:lineRule="auto"/>
              <w:ind w:left="355" w:right="334"/>
              <w:jc w:val="both"/>
              <w:rPr>
                <w:sz w:val="20"/>
                <w:szCs w:val="20"/>
              </w:rPr>
            </w:pPr>
            <w:r w:rsidRPr="00C3144A">
              <w:rPr>
                <w:sz w:val="20"/>
                <w:szCs w:val="20"/>
              </w:rPr>
              <w:t>3,3</w:t>
            </w:r>
          </w:p>
        </w:tc>
        <w:tc>
          <w:tcPr>
            <w:tcW w:w="1928" w:type="dxa"/>
          </w:tcPr>
          <w:p w14:paraId="603720EA" w14:textId="77777777" w:rsidR="00940546" w:rsidRPr="00C3144A" w:rsidRDefault="00940546" w:rsidP="00C3144A">
            <w:pPr>
              <w:pStyle w:val="TableParagraph"/>
              <w:spacing w:line="360" w:lineRule="auto"/>
              <w:ind w:left="443" w:right="426"/>
              <w:jc w:val="both"/>
              <w:rPr>
                <w:b/>
                <w:sz w:val="20"/>
                <w:szCs w:val="20"/>
              </w:rPr>
            </w:pPr>
            <w:r w:rsidRPr="00C3144A">
              <w:rPr>
                <w:b/>
                <w:sz w:val="20"/>
                <w:szCs w:val="20"/>
              </w:rPr>
              <w:t>1,4</w:t>
            </w:r>
          </w:p>
        </w:tc>
        <w:tc>
          <w:tcPr>
            <w:tcW w:w="973" w:type="dxa"/>
          </w:tcPr>
          <w:p w14:paraId="3DF68860" w14:textId="77777777" w:rsidR="00940546" w:rsidRPr="00C3144A" w:rsidRDefault="00940546" w:rsidP="00C3144A">
            <w:pPr>
              <w:pStyle w:val="TableParagraph"/>
              <w:spacing w:line="360" w:lineRule="auto"/>
              <w:ind w:left="278" w:right="266"/>
              <w:jc w:val="both"/>
              <w:rPr>
                <w:sz w:val="20"/>
                <w:szCs w:val="20"/>
              </w:rPr>
            </w:pPr>
            <w:r w:rsidRPr="00C3144A">
              <w:rPr>
                <w:sz w:val="20"/>
                <w:szCs w:val="20"/>
              </w:rPr>
              <w:t>42,2</w:t>
            </w:r>
          </w:p>
        </w:tc>
        <w:tc>
          <w:tcPr>
            <w:tcW w:w="1580" w:type="dxa"/>
          </w:tcPr>
          <w:p w14:paraId="35DA9CC6" w14:textId="77777777" w:rsidR="00940546" w:rsidRPr="00C3144A" w:rsidRDefault="00940546" w:rsidP="00C3144A">
            <w:pPr>
              <w:pStyle w:val="TableParagraph"/>
              <w:spacing w:line="360" w:lineRule="auto"/>
              <w:ind w:left="374" w:right="361"/>
              <w:jc w:val="both"/>
              <w:rPr>
                <w:sz w:val="20"/>
                <w:szCs w:val="20"/>
              </w:rPr>
            </w:pPr>
            <w:r w:rsidRPr="00C3144A">
              <w:rPr>
                <w:sz w:val="20"/>
                <w:szCs w:val="20"/>
              </w:rPr>
              <w:t>3,6</w:t>
            </w:r>
          </w:p>
        </w:tc>
      </w:tr>
    </w:tbl>
    <w:p w14:paraId="587C2325" w14:textId="77777777" w:rsidR="00940546" w:rsidRPr="00C3144A" w:rsidRDefault="00940546" w:rsidP="00C3144A">
      <w:pPr>
        <w:pStyle w:val="BodyText"/>
        <w:spacing w:before="5" w:line="360" w:lineRule="auto"/>
        <w:jc w:val="both"/>
        <w:rPr>
          <w:b/>
          <w:sz w:val="20"/>
          <w:szCs w:val="20"/>
        </w:rPr>
      </w:pPr>
    </w:p>
    <w:p w14:paraId="3660E2C4" w14:textId="68AF2771" w:rsidR="00DE59D5" w:rsidRDefault="00DE59D5" w:rsidP="00DE59D5">
      <w:pPr>
        <w:spacing w:line="360" w:lineRule="auto"/>
        <w:ind w:left="115"/>
        <w:jc w:val="both"/>
        <w:rPr>
          <w:b/>
          <w:sz w:val="20"/>
          <w:szCs w:val="20"/>
        </w:rPr>
      </w:pPr>
      <w:r w:rsidRPr="007178EF">
        <w:rPr>
          <w:b/>
          <w:sz w:val="20"/>
          <w:szCs w:val="20"/>
          <w:highlight w:val="yellow"/>
        </w:rPr>
        <w:t xml:space="preserve">Figures </w:t>
      </w:r>
      <w:r>
        <w:rPr>
          <w:b/>
          <w:sz w:val="20"/>
          <w:szCs w:val="20"/>
          <w:highlight w:val="yellow"/>
        </w:rPr>
        <w:t>16</w:t>
      </w:r>
      <w:r w:rsidRPr="007178EF">
        <w:rPr>
          <w:b/>
          <w:sz w:val="20"/>
          <w:szCs w:val="20"/>
          <w:highlight w:val="yellow"/>
        </w:rPr>
        <w:t xml:space="preserve">, </w:t>
      </w:r>
      <w:r>
        <w:rPr>
          <w:b/>
          <w:sz w:val="20"/>
          <w:szCs w:val="20"/>
          <w:highlight w:val="yellow"/>
        </w:rPr>
        <w:t xml:space="preserve">17 </w:t>
      </w:r>
      <w:r w:rsidRPr="007178EF">
        <w:rPr>
          <w:b/>
          <w:sz w:val="20"/>
          <w:szCs w:val="20"/>
          <w:highlight w:val="yellow"/>
        </w:rPr>
        <w:t xml:space="preserve">and </w:t>
      </w:r>
      <w:r>
        <w:rPr>
          <w:b/>
          <w:sz w:val="20"/>
          <w:szCs w:val="20"/>
          <w:highlight w:val="yellow"/>
        </w:rPr>
        <w:t xml:space="preserve">18 </w:t>
      </w:r>
      <w:r w:rsidRPr="007178EF">
        <w:rPr>
          <w:b/>
          <w:sz w:val="20"/>
          <w:szCs w:val="20"/>
          <w:highlight w:val="yellow"/>
        </w:rPr>
        <w:t>Insert Here</w:t>
      </w:r>
    </w:p>
    <w:p w14:paraId="228912C3" w14:textId="77777777" w:rsidR="00DE59D5" w:rsidRDefault="00DE59D5" w:rsidP="00DE59D5">
      <w:pPr>
        <w:spacing w:line="360" w:lineRule="auto"/>
        <w:ind w:left="115"/>
        <w:jc w:val="both"/>
        <w:rPr>
          <w:b/>
          <w:sz w:val="20"/>
          <w:szCs w:val="20"/>
        </w:rPr>
      </w:pPr>
    </w:p>
    <w:p w14:paraId="2E256F84" w14:textId="77777777" w:rsidR="00940546" w:rsidRPr="00C3144A" w:rsidRDefault="00940546" w:rsidP="004E32ED">
      <w:pPr>
        <w:pStyle w:val="Heading1"/>
        <w:tabs>
          <w:tab w:val="left" w:pos="280"/>
        </w:tabs>
        <w:spacing w:before="74" w:line="360" w:lineRule="auto"/>
        <w:ind w:left="114" w:firstLine="0"/>
        <w:jc w:val="both"/>
        <w:rPr>
          <w:sz w:val="20"/>
          <w:szCs w:val="20"/>
        </w:rPr>
      </w:pPr>
      <w:bookmarkStart w:id="3" w:name="_TOC_250002"/>
      <w:bookmarkEnd w:id="3"/>
      <w:r w:rsidRPr="00C3144A">
        <w:rPr>
          <w:sz w:val="20"/>
          <w:szCs w:val="20"/>
        </w:rPr>
        <w:t>Discussion</w:t>
      </w:r>
    </w:p>
    <w:p w14:paraId="6D33EE92" w14:textId="0D43ACAD" w:rsidR="00940546" w:rsidRDefault="00940546" w:rsidP="00C3144A">
      <w:pPr>
        <w:pStyle w:val="BodyText"/>
        <w:spacing w:before="119" w:line="360" w:lineRule="auto"/>
        <w:ind w:left="115"/>
        <w:jc w:val="both"/>
        <w:rPr>
          <w:sz w:val="20"/>
          <w:szCs w:val="20"/>
        </w:rPr>
      </w:pPr>
      <w:r w:rsidRPr="00C3144A">
        <w:rPr>
          <w:sz w:val="20"/>
          <w:szCs w:val="20"/>
        </w:rPr>
        <w:t xml:space="preserve">The so many global cases of the COVID-19 respiratory illness caused by the virus SARS-CoV-2 resulted in a global pandemic and medical and </w:t>
      </w:r>
      <w:proofErr w:type="spellStart"/>
      <w:r w:rsidRPr="00C3144A">
        <w:rPr>
          <w:sz w:val="20"/>
          <w:szCs w:val="20"/>
        </w:rPr>
        <w:t>economical</w:t>
      </w:r>
      <w:proofErr w:type="spellEnd"/>
      <w:r w:rsidRPr="00C3144A">
        <w:rPr>
          <w:sz w:val="20"/>
          <w:szCs w:val="20"/>
        </w:rPr>
        <w:t xml:space="preserve"> devastation worldwide.</w:t>
      </w:r>
    </w:p>
    <w:p w14:paraId="78442310" w14:textId="77777777" w:rsidR="002F028F" w:rsidRPr="00C3144A" w:rsidRDefault="002F028F" w:rsidP="00C3144A">
      <w:pPr>
        <w:pStyle w:val="BodyText"/>
        <w:spacing w:before="119" w:line="360" w:lineRule="auto"/>
        <w:ind w:left="115"/>
        <w:jc w:val="both"/>
        <w:rPr>
          <w:sz w:val="20"/>
          <w:szCs w:val="20"/>
        </w:rPr>
      </w:pPr>
    </w:p>
    <w:p w14:paraId="7C544C26" w14:textId="4AD47994" w:rsidR="00940546" w:rsidRDefault="00940546" w:rsidP="00C3144A">
      <w:pPr>
        <w:pStyle w:val="BodyText"/>
        <w:spacing w:line="360" w:lineRule="auto"/>
        <w:ind w:left="115" w:right="135"/>
        <w:jc w:val="both"/>
        <w:rPr>
          <w:sz w:val="20"/>
          <w:szCs w:val="20"/>
        </w:rPr>
      </w:pPr>
      <w:r w:rsidRPr="00C3144A">
        <w:rPr>
          <w:sz w:val="20"/>
          <w:szCs w:val="20"/>
        </w:rPr>
        <w:t xml:space="preserve">To date there are many cases and series already published asserting a causal link between SARS-CoV-2 and </w:t>
      </w:r>
      <w:proofErr w:type="spellStart"/>
      <w:r w:rsidRPr="00C3144A">
        <w:rPr>
          <w:sz w:val="20"/>
          <w:szCs w:val="20"/>
        </w:rPr>
        <w:t>Guillain-Barrè</w:t>
      </w:r>
      <w:proofErr w:type="spellEnd"/>
      <w:r w:rsidRPr="00C3144A">
        <w:rPr>
          <w:sz w:val="20"/>
          <w:szCs w:val="20"/>
        </w:rPr>
        <w:t xml:space="preserve"> Syndrome </w:t>
      </w:r>
      <w:r w:rsidR="004E32ED">
        <w:rPr>
          <w:sz w:val="20"/>
          <w:szCs w:val="20"/>
        </w:rPr>
        <w:t>[</w:t>
      </w:r>
      <w:r w:rsidRPr="00C3144A">
        <w:rPr>
          <w:sz w:val="20"/>
          <w:szCs w:val="20"/>
        </w:rPr>
        <w:t>22</w:t>
      </w:r>
      <w:r w:rsidR="004E32ED">
        <w:rPr>
          <w:sz w:val="20"/>
          <w:szCs w:val="20"/>
        </w:rPr>
        <w:t>-</w:t>
      </w:r>
      <w:r w:rsidRPr="00C3144A">
        <w:rPr>
          <w:sz w:val="20"/>
          <w:szCs w:val="20"/>
        </w:rPr>
        <w:t>24</w:t>
      </w:r>
      <w:r w:rsidR="004E32ED">
        <w:rPr>
          <w:sz w:val="20"/>
          <w:szCs w:val="20"/>
        </w:rPr>
        <w:t>]</w:t>
      </w:r>
      <w:r w:rsidRPr="00C3144A">
        <w:rPr>
          <w:sz w:val="20"/>
          <w:szCs w:val="20"/>
        </w:rPr>
        <w:t>.</w:t>
      </w:r>
    </w:p>
    <w:p w14:paraId="5448F09D" w14:textId="77777777" w:rsidR="002F028F" w:rsidRPr="00C3144A" w:rsidRDefault="002F028F" w:rsidP="00C3144A">
      <w:pPr>
        <w:pStyle w:val="BodyText"/>
        <w:spacing w:line="360" w:lineRule="auto"/>
        <w:ind w:left="115" w:right="135"/>
        <w:jc w:val="both"/>
        <w:rPr>
          <w:sz w:val="20"/>
          <w:szCs w:val="20"/>
        </w:rPr>
      </w:pPr>
    </w:p>
    <w:p w14:paraId="48FA4A69" w14:textId="6902222F" w:rsidR="00940546" w:rsidRDefault="00940546" w:rsidP="00C3144A">
      <w:pPr>
        <w:pStyle w:val="BodyText"/>
        <w:spacing w:line="360" w:lineRule="auto"/>
        <w:ind w:left="115" w:right="130"/>
        <w:jc w:val="both"/>
        <w:rPr>
          <w:color w:val="222222"/>
          <w:sz w:val="20"/>
          <w:szCs w:val="20"/>
        </w:rPr>
      </w:pPr>
      <w:r w:rsidRPr="00C3144A">
        <w:rPr>
          <w:color w:val="222222"/>
          <w:sz w:val="20"/>
          <w:szCs w:val="20"/>
        </w:rPr>
        <w:t xml:space="preserve">The relationship between </w:t>
      </w:r>
      <w:proofErr w:type="spellStart"/>
      <w:r w:rsidRPr="00C3144A">
        <w:rPr>
          <w:color w:val="222222"/>
          <w:sz w:val="20"/>
          <w:szCs w:val="20"/>
        </w:rPr>
        <w:t>Guillain</w:t>
      </w:r>
      <w:proofErr w:type="spellEnd"/>
      <w:r w:rsidRPr="00C3144A">
        <w:rPr>
          <w:color w:val="222222"/>
          <w:sz w:val="20"/>
          <w:szCs w:val="20"/>
        </w:rPr>
        <w:t>–</w:t>
      </w:r>
      <w:proofErr w:type="spellStart"/>
      <w:r w:rsidRPr="00C3144A">
        <w:rPr>
          <w:color w:val="222222"/>
          <w:sz w:val="20"/>
          <w:szCs w:val="20"/>
        </w:rPr>
        <w:t>Barrè</w:t>
      </w:r>
      <w:proofErr w:type="spellEnd"/>
      <w:r w:rsidRPr="00C3144A">
        <w:rPr>
          <w:color w:val="222222"/>
          <w:sz w:val="20"/>
          <w:szCs w:val="20"/>
        </w:rPr>
        <w:t xml:space="preserve"> syndrome and vaccinations like after a meningococcal vaccine </w:t>
      </w:r>
      <w:r w:rsidR="004E32ED">
        <w:rPr>
          <w:color w:val="222222"/>
          <w:sz w:val="20"/>
          <w:szCs w:val="20"/>
        </w:rPr>
        <w:t>[</w:t>
      </w:r>
      <w:r w:rsidRPr="00C3144A">
        <w:rPr>
          <w:color w:val="222222"/>
          <w:sz w:val="20"/>
          <w:szCs w:val="20"/>
        </w:rPr>
        <w:t>13</w:t>
      </w:r>
      <w:r w:rsidR="004E32ED">
        <w:rPr>
          <w:color w:val="222222"/>
          <w:sz w:val="20"/>
          <w:szCs w:val="20"/>
        </w:rPr>
        <w:t>-</w:t>
      </w:r>
      <w:r w:rsidRPr="00C3144A">
        <w:rPr>
          <w:color w:val="222222"/>
          <w:sz w:val="20"/>
          <w:szCs w:val="20"/>
        </w:rPr>
        <w:t>15</w:t>
      </w:r>
      <w:r w:rsidR="004E32ED">
        <w:rPr>
          <w:color w:val="222222"/>
          <w:sz w:val="20"/>
          <w:szCs w:val="20"/>
        </w:rPr>
        <w:t>]</w:t>
      </w:r>
      <w:r w:rsidRPr="00C3144A">
        <w:rPr>
          <w:color w:val="222222"/>
          <w:sz w:val="20"/>
          <w:szCs w:val="20"/>
        </w:rPr>
        <w:t xml:space="preserve">, influenza vaccine </w:t>
      </w:r>
      <w:r w:rsidR="004E32ED">
        <w:rPr>
          <w:color w:val="222222"/>
          <w:sz w:val="20"/>
          <w:szCs w:val="20"/>
        </w:rPr>
        <w:t>[</w:t>
      </w:r>
      <w:r w:rsidRPr="00C3144A">
        <w:rPr>
          <w:color w:val="222222"/>
          <w:sz w:val="20"/>
          <w:szCs w:val="20"/>
        </w:rPr>
        <w:t>16,17</w:t>
      </w:r>
      <w:r w:rsidR="004E32ED">
        <w:rPr>
          <w:color w:val="222222"/>
          <w:sz w:val="20"/>
          <w:szCs w:val="20"/>
        </w:rPr>
        <w:t>]</w:t>
      </w:r>
      <w:r w:rsidRPr="00C3144A">
        <w:rPr>
          <w:color w:val="222222"/>
          <w:sz w:val="20"/>
          <w:szCs w:val="20"/>
        </w:rPr>
        <w:t>, and others vaccine, is well known</w:t>
      </w:r>
      <w:r w:rsidRPr="00C3144A">
        <w:rPr>
          <w:sz w:val="20"/>
          <w:szCs w:val="20"/>
        </w:rPr>
        <w:t>, also if t</w:t>
      </w:r>
      <w:r w:rsidRPr="00C3144A">
        <w:rPr>
          <w:color w:val="222222"/>
          <w:sz w:val="20"/>
          <w:szCs w:val="20"/>
        </w:rPr>
        <w:t xml:space="preserve">he risk of </w:t>
      </w:r>
      <w:proofErr w:type="gramStart"/>
      <w:r w:rsidRPr="00C3144A">
        <w:rPr>
          <w:color w:val="222222"/>
          <w:sz w:val="20"/>
          <w:szCs w:val="20"/>
        </w:rPr>
        <w:t>GBS  after</w:t>
      </w:r>
      <w:proofErr w:type="gramEnd"/>
      <w:r w:rsidRPr="00C3144A">
        <w:rPr>
          <w:color w:val="222222"/>
          <w:sz w:val="20"/>
          <w:szCs w:val="20"/>
        </w:rPr>
        <w:t xml:space="preserve"> vaccination appears substantially lower than the risk of GBS triggered by acute infection </w:t>
      </w:r>
      <w:r w:rsidR="004E32ED">
        <w:rPr>
          <w:color w:val="222222"/>
          <w:sz w:val="20"/>
          <w:szCs w:val="20"/>
        </w:rPr>
        <w:t>[</w:t>
      </w:r>
      <w:r w:rsidRPr="00C3144A">
        <w:rPr>
          <w:color w:val="222222"/>
          <w:sz w:val="20"/>
          <w:szCs w:val="20"/>
        </w:rPr>
        <w:t>24,25</w:t>
      </w:r>
      <w:r w:rsidR="004E32ED">
        <w:rPr>
          <w:color w:val="222222"/>
          <w:sz w:val="20"/>
          <w:szCs w:val="20"/>
        </w:rPr>
        <w:t>]</w:t>
      </w:r>
      <w:r w:rsidRPr="00C3144A">
        <w:rPr>
          <w:color w:val="222222"/>
          <w:sz w:val="20"/>
          <w:szCs w:val="20"/>
        </w:rPr>
        <w:t>. In addition, preventing acute illness through vaccination can reduce infection-triggered</w:t>
      </w:r>
      <w:r w:rsidRPr="00C3144A">
        <w:rPr>
          <w:color w:val="222222"/>
          <w:spacing w:val="-7"/>
          <w:sz w:val="20"/>
          <w:szCs w:val="20"/>
        </w:rPr>
        <w:t xml:space="preserve"> </w:t>
      </w:r>
      <w:r w:rsidRPr="00C3144A">
        <w:rPr>
          <w:color w:val="222222"/>
          <w:sz w:val="20"/>
          <w:szCs w:val="20"/>
        </w:rPr>
        <w:t>GBS.</w:t>
      </w:r>
    </w:p>
    <w:p w14:paraId="11E64B34" w14:textId="77777777" w:rsidR="002F028F" w:rsidRPr="00C3144A" w:rsidRDefault="002F028F" w:rsidP="00C3144A">
      <w:pPr>
        <w:pStyle w:val="BodyText"/>
        <w:spacing w:line="360" w:lineRule="auto"/>
        <w:ind w:left="115" w:right="130"/>
        <w:jc w:val="both"/>
        <w:rPr>
          <w:sz w:val="20"/>
          <w:szCs w:val="20"/>
        </w:rPr>
      </w:pPr>
    </w:p>
    <w:p w14:paraId="45057AAE" w14:textId="4ADFD378" w:rsidR="00940546" w:rsidRDefault="00940546" w:rsidP="00C3144A">
      <w:pPr>
        <w:pStyle w:val="BodyText"/>
        <w:spacing w:before="1" w:line="360" w:lineRule="auto"/>
        <w:ind w:left="115" w:right="139"/>
        <w:jc w:val="both"/>
        <w:rPr>
          <w:sz w:val="20"/>
          <w:szCs w:val="20"/>
        </w:rPr>
      </w:pPr>
      <w:r w:rsidRPr="00C3144A">
        <w:rPr>
          <w:sz w:val="20"/>
          <w:szCs w:val="20"/>
        </w:rPr>
        <w:t xml:space="preserve">In the recent pandemic context, a worldwide mass vaccination </w:t>
      </w:r>
      <w:proofErr w:type="spellStart"/>
      <w:r w:rsidRPr="00C3144A">
        <w:rPr>
          <w:sz w:val="20"/>
          <w:szCs w:val="20"/>
        </w:rPr>
        <w:t>programme</w:t>
      </w:r>
      <w:proofErr w:type="spellEnd"/>
      <w:r w:rsidRPr="00C3144A">
        <w:rPr>
          <w:sz w:val="20"/>
          <w:szCs w:val="20"/>
        </w:rPr>
        <w:t xml:space="preserve"> has been started since the end of 2020-beginning of 2021.</w:t>
      </w:r>
    </w:p>
    <w:p w14:paraId="07C08AAC" w14:textId="77777777" w:rsidR="002F028F" w:rsidRPr="00C3144A" w:rsidRDefault="002F028F" w:rsidP="00C3144A">
      <w:pPr>
        <w:pStyle w:val="BodyText"/>
        <w:spacing w:before="1" w:line="360" w:lineRule="auto"/>
        <w:ind w:left="115" w:right="139"/>
        <w:jc w:val="both"/>
        <w:rPr>
          <w:sz w:val="20"/>
          <w:szCs w:val="20"/>
        </w:rPr>
      </w:pPr>
    </w:p>
    <w:p w14:paraId="7E404B8F" w14:textId="551A6339" w:rsidR="00940546" w:rsidRPr="00C3144A" w:rsidRDefault="00940546" w:rsidP="00C3144A">
      <w:pPr>
        <w:pStyle w:val="BodyText"/>
        <w:spacing w:before="1" w:line="360" w:lineRule="auto"/>
        <w:ind w:left="115" w:right="138"/>
        <w:jc w:val="both"/>
        <w:rPr>
          <w:sz w:val="20"/>
          <w:szCs w:val="20"/>
        </w:rPr>
      </w:pPr>
      <w:r w:rsidRPr="00C3144A">
        <w:rPr>
          <w:sz w:val="20"/>
          <w:szCs w:val="20"/>
        </w:rPr>
        <w:t xml:space="preserve">Vaccine-associated </w:t>
      </w:r>
      <w:proofErr w:type="spellStart"/>
      <w:r w:rsidRPr="00C3144A">
        <w:rPr>
          <w:sz w:val="20"/>
          <w:szCs w:val="20"/>
        </w:rPr>
        <w:t>Guillain</w:t>
      </w:r>
      <w:proofErr w:type="spellEnd"/>
      <w:r w:rsidRPr="00C3144A">
        <w:rPr>
          <w:sz w:val="20"/>
          <w:szCs w:val="20"/>
        </w:rPr>
        <w:t>–</w:t>
      </w:r>
      <w:proofErr w:type="spellStart"/>
      <w:r w:rsidRPr="00C3144A">
        <w:rPr>
          <w:sz w:val="20"/>
          <w:szCs w:val="20"/>
        </w:rPr>
        <w:t>Barrè</w:t>
      </w:r>
      <w:proofErr w:type="spellEnd"/>
      <w:r w:rsidRPr="00C3144A">
        <w:rPr>
          <w:sz w:val="20"/>
          <w:szCs w:val="20"/>
        </w:rPr>
        <w:t xml:space="preserve"> syndrome is defined as those with the onset of </w:t>
      </w:r>
      <w:proofErr w:type="spellStart"/>
      <w:r w:rsidRPr="00C3144A">
        <w:rPr>
          <w:sz w:val="20"/>
          <w:szCs w:val="20"/>
        </w:rPr>
        <w:t>Guillain</w:t>
      </w:r>
      <w:proofErr w:type="spellEnd"/>
      <w:r w:rsidRPr="00C3144A">
        <w:rPr>
          <w:sz w:val="20"/>
          <w:szCs w:val="20"/>
        </w:rPr>
        <w:t>–</w:t>
      </w:r>
      <w:proofErr w:type="spellStart"/>
      <w:r w:rsidRPr="00C3144A">
        <w:rPr>
          <w:sz w:val="20"/>
          <w:szCs w:val="20"/>
        </w:rPr>
        <w:t>Barrè</w:t>
      </w:r>
      <w:proofErr w:type="spellEnd"/>
      <w:r w:rsidRPr="00C3144A">
        <w:rPr>
          <w:sz w:val="20"/>
          <w:szCs w:val="20"/>
        </w:rPr>
        <w:t xml:space="preserve"> syndrome symptoms within a six-week period after receiving the vaccine, as reported by Vaccine Adverse Event Reporting System (VAERS) </w:t>
      </w:r>
      <w:r w:rsidR="004E32ED">
        <w:rPr>
          <w:sz w:val="20"/>
          <w:szCs w:val="20"/>
        </w:rPr>
        <w:t>[</w:t>
      </w:r>
      <w:r w:rsidRPr="00C3144A">
        <w:rPr>
          <w:sz w:val="20"/>
          <w:szCs w:val="20"/>
        </w:rPr>
        <w:t>26</w:t>
      </w:r>
      <w:r w:rsidR="004E32ED">
        <w:rPr>
          <w:sz w:val="20"/>
          <w:szCs w:val="20"/>
        </w:rPr>
        <w:t>]</w:t>
      </w:r>
      <w:r w:rsidRPr="00C3144A">
        <w:rPr>
          <w:sz w:val="20"/>
          <w:szCs w:val="20"/>
        </w:rPr>
        <w:t>.</w:t>
      </w:r>
    </w:p>
    <w:p w14:paraId="039FB1CD" w14:textId="0094A76E" w:rsidR="00940546" w:rsidRDefault="00940546" w:rsidP="00C3144A">
      <w:pPr>
        <w:pStyle w:val="BodyText"/>
        <w:spacing w:line="360" w:lineRule="auto"/>
        <w:ind w:left="115" w:right="131"/>
        <w:jc w:val="both"/>
        <w:rPr>
          <w:color w:val="222222"/>
          <w:sz w:val="20"/>
          <w:szCs w:val="20"/>
        </w:rPr>
      </w:pPr>
      <w:r w:rsidRPr="00C3144A">
        <w:rPr>
          <w:sz w:val="20"/>
          <w:szCs w:val="20"/>
        </w:rPr>
        <w:t xml:space="preserve">To date, based on available epidemiological data, a potential association between the adenovirus vector vaccines (AstraZeneca COVID-19 and especially Janssen/Johnson &amp; Johnson COVID-19 vaccine) and </w:t>
      </w:r>
      <w:proofErr w:type="spellStart"/>
      <w:r w:rsidRPr="00C3144A">
        <w:rPr>
          <w:sz w:val="20"/>
          <w:szCs w:val="20"/>
        </w:rPr>
        <w:t>Guillain-Barrè</w:t>
      </w:r>
      <w:proofErr w:type="spellEnd"/>
      <w:r w:rsidRPr="00C3144A">
        <w:rPr>
          <w:sz w:val="20"/>
          <w:szCs w:val="20"/>
        </w:rPr>
        <w:t xml:space="preserve"> syndrome is being investigated </w:t>
      </w:r>
      <w:r w:rsidR="004E32ED">
        <w:rPr>
          <w:sz w:val="20"/>
          <w:szCs w:val="20"/>
        </w:rPr>
        <w:t>[</w:t>
      </w:r>
      <w:r w:rsidRPr="00C3144A">
        <w:rPr>
          <w:sz w:val="20"/>
          <w:szCs w:val="20"/>
        </w:rPr>
        <w:t>31</w:t>
      </w:r>
      <w:r w:rsidR="004E32ED">
        <w:rPr>
          <w:sz w:val="20"/>
          <w:szCs w:val="20"/>
        </w:rPr>
        <w:t>-</w:t>
      </w:r>
      <w:r w:rsidRPr="00C3144A">
        <w:rPr>
          <w:sz w:val="20"/>
          <w:szCs w:val="20"/>
        </w:rPr>
        <w:t>34</w:t>
      </w:r>
      <w:r w:rsidR="004E32ED">
        <w:rPr>
          <w:sz w:val="20"/>
          <w:szCs w:val="20"/>
        </w:rPr>
        <w:t>]</w:t>
      </w:r>
      <w:r w:rsidRPr="00C3144A">
        <w:rPr>
          <w:sz w:val="20"/>
          <w:szCs w:val="20"/>
        </w:rPr>
        <w:t xml:space="preserve">. </w:t>
      </w:r>
      <w:r w:rsidRPr="00C3144A">
        <w:rPr>
          <w:color w:val="222222"/>
          <w:sz w:val="20"/>
          <w:szCs w:val="20"/>
        </w:rPr>
        <w:t xml:space="preserve">Especially, although a causal link has not been yet unequivocally established, 100 cases of GBS have been observed in the United States occurring within six weeks of immunization, among 12.5 million patients given a dose of Janssen/Johnson &amp; Johnson COVID-19 vaccine </w:t>
      </w:r>
      <w:r w:rsidR="004E32ED">
        <w:rPr>
          <w:color w:val="222222"/>
          <w:sz w:val="20"/>
          <w:szCs w:val="20"/>
        </w:rPr>
        <w:t>[</w:t>
      </w:r>
      <w:r w:rsidRPr="00C3144A">
        <w:rPr>
          <w:color w:val="222222"/>
          <w:sz w:val="20"/>
          <w:szCs w:val="20"/>
        </w:rPr>
        <w:t>43</w:t>
      </w:r>
      <w:r w:rsidR="004E32ED">
        <w:rPr>
          <w:color w:val="222222"/>
          <w:sz w:val="20"/>
          <w:szCs w:val="20"/>
        </w:rPr>
        <w:t>]</w:t>
      </w:r>
      <w:r w:rsidRPr="00C3144A">
        <w:rPr>
          <w:color w:val="222222"/>
          <w:sz w:val="20"/>
          <w:szCs w:val="20"/>
        </w:rPr>
        <w:t>. The estimated rate (7,8 cases per million doses) was approximately five times the background rate. Cases have also been reported after AstraZeneca vaccine, but with less significant numbers than the former.</w:t>
      </w:r>
    </w:p>
    <w:p w14:paraId="61E7CA40" w14:textId="77777777" w:rsidR="002F028F" w:rsidRPr="00C3144A" w:rsidRDefault="002F028F" w:rsidP="00C3144A">
      <w:pPr>
        <w:pStyle w:val="BodyText"/>
        <w:spacing w:line="360" w:lineRule="auto"/>
        <w:ind w:left="115" w:right="131"/>
        <w:jc w:val="both"/>
        <w:rPr>
          <w:sz w:val="20"/>
          <w:szCs w:val="20"/>
        </w:rPr>
      </w:pPr>
    </w:p>
    <w:p w14:paraId="2074BAE6" w14:textId="1446E84C" w:rsidR="00940546" w:rsidRDefault="00940546" w:rsidP="00C3144A">
      <w:pPr>
        <w:pStyle w:val="BodyText"/>
        <w:spacing w:line="360" w:lineRule="auto"/>
        <w:ind w:left="115"/>
        <w:jc w:val="both"/>
        <w:rPr>
          <w:color w:val="222222"/>
          <w:sz w:val="20"/>
          <w:szCs w:val="20"/>
        </w:rPr>
      </w:pPr>
      <w:r w:rsidRPr="00C3144A">
        <w:rPr>
          <w:color w:val="222222"/>
          <w:sz w:val="20"/>
          <w:szCs w:val="20"/>
        </w:rPr>
        <w:t>Instead, a similar signal has not been observed with the mRNA COVID-19 vaccines.</w:t>
      </w:r>
    </w:p>
    <w:p w14:paraId="7F4A71E3" w14:textId="77777777" w:rsidR="002F028F" w:rsidRPr="00C3144A" w:rsidRDefault="002F028F" w:rsidP="00C3144A">
      <w:pPr>
        <w:pStyle w:val="BodyText"/>
        <w:spacing w:line="360" w:lineRule="auto"/>
        <w:ind w:left="115"/>
        <w:jc w:val="both"/>
        <w:rPr>
          <w:sz w:val="20"/>
          <w:szCs w:val="20"/>
        </w:rPr>
      </w:pPr>
    </w:p>
    <w:p w14:paraId="3932D096" w14:textId="77777777" w:rsidR="00940546" w:rsidRPr="00C3144A" w:rsidRDefault="00940546" w:rsidP="00C3144A">
      <w:pPr>
        <w:pStyle w:val="BodyText"/>
        <w:spacing w:line="360" w:lineRule="auto"/>
        <w:ind w:left="115" w:right="130"/>
        <w:jc w:val="both"/>
        <w:rPr>
          <w:sz w:val="20"/>
          <w:szCs w:val="20"/>
        </w:rPr>
      </w:pPr>
      <w:r w:rsidRPr="00C3144A">
        <w:rPr>
          <w:color w:val="222222"/>
          <w:sz w:val="20"/>
          <w:szCs w:val="20"/>
        </w:rPr>
        <w:t xml:space="preserve">On 22 July 2021 European Medicines Agency (EMA) announced that, with regard to the Janssen vaccine, </w:t>
      </w:r>
      <w:proofErr w:type="spellStart"/>
      <w:r w:rsidRPr="00C3144A">
        <w:rPr>
          <w:color w:val="222222"/>
          <w:sz w:val="20"/>
          <w:szCs w:val="20"/>
        </w:rPr>
        <w:t>Guillain-Barrè</w:t>
      </w:r>
      <w:proofErr w:type="spellEnd"/>
      <w:r w:rsidRPr="00C3144A">
        <w:rPr>
          <w:color w:val="222222"/>
          <w:sz w:val="20"/>
          <w:szCs w:val="20"/>
        </w:rPr>
        <w:t xml:space="preserve"> syndrome will be added to the Product Information as a side effect undesirable very rare, based on GBS cases </w:t>
      </w:r>
      <w:r w:rsidRPr="00C3144A">
        <w:rPr>
          <w:sz w:val="20"/>
          <w:szCs w:val="20"/>
        </w:rPr>
        <w:t xml:space="preserve">examined until June 30, 2021 (108 cases out of more than 21 million administrations of this vaccine) </w:t>
      </w:r>
      <w:r w:rsidRPr="00C3144A">
        <w:rPr>
          <w:color w:val="000009"/>
          <w:sz w:val="20"/>
          <w:szCs w:val="20"/>
        </w:rPr>
        <w:t xml:space="preserve">(22 </w:t>
      </w:r>
      <w:proofErr w:type="spellStart"/>
      <w:r w:rsidRPr="00C3144A">
        <w:rPr>
          <w:color w:val="000009"/>
          <w:sz w:val="20"/>
          <w:szCs w:val="20"/>
        </w:rPr>
        <w:t>luglio</w:t>
      </w:r>
      <w:proofErr w:type="spellEnd"/>
      <w:r w:rsidRPr="00C3144A">
        <w:rPr>
          <w:color w:val="000009"/>
          <w:sz w:val="20"/>
          <w:szCs w:val="20"/>
        </w:rPr>
        <w:t xml:space="preserve"> 2021</w:t>
      </w:r>
      <w:r w:rsidRPr="00C3144A">
        <w:rPr>
          <w:color w:val="000009"/>
          <w:spacing w:val="2"/>
          <w:sz w:val="20"/>
          <w:szCs w:val="20"/>
        </w:rPr>
        <w:t xml:space="preserve"> </w:t>
      </w:r>
      <w:r w:rsidRPr="00C3144A">
        <w:rPr>
          <w:color w:val="000009"/>
          <w:sz w:val="20"/>
          <w:szCs w:val="20"/>
        </w:rPr>
        <w:t>EMA/408515/2021).</w:t>
      </w:r>
    </w:p>
    <w:p w14:paraId="6D78EBD2" w14:textId="66002034" w:rsidR="00940546" w:rsidRDefault="00940546" w:rsidP="00C3144A">
      <w:pPr>
        <w:pStyle w:val="BodyText"/>
        <w:spacing w:line="360" w:lineRule="auto"/>
        <w:ind w:left="115" w:right="142"/>
        <w:jc w:val="both"/>
        <w:rPr>
          <w:color w:val="000009"/>
          <w:sz w:val="20"/>
          <w:szCs w:val="20"/>
        </w:rPr>
      </w:pPr>
      <w:r w:rsidRPr="00C3144A">
        <w:rPr>
          <w:color w:val="000009"/>
          <w:sz w:val="20"/>
          <w:szCs w:val="20"/>
        </w:rPr>
        <w:t>Even more recently EMA announced that the same syndrome will be added as very rare effect also of AstraZeneca COVID-19 vaccine: until July 31, 833 cases of the neurological syndrome have been reported worldwide, with over 592 million doses of the Anglo-Swedish serum administered.</w:t>
      </w:r>
    </w:p>
    <w:p w14:paraId="2DE045C8" w14:textId="77777777" w:rsidR="002F028F" w:rsidRPr="00C3144A" w:rsidRDefault="002F028F" w:rsidP="00C3144A">
      <w:pPr>
        <w:pStyle w:val="BodyText"/>
        <w:spacing w:line="360" w:lineRule="auto"/>
        <w:ind w:left="115" w:right="142"/>
        <w:jc w:val="both"/>
        <w:rPr>
          <w:sz w:val="20"/>
          <w:szCs w:val="20"/>
        </w:rPr>
      </w:pPr>
    </w:p>
    <w:p w14:paraId="52FBD59E" w14:textId="0FE1C9CC" w:rsidR="00940546" w:rsidRDefault="00940546" w:rsidP="00C3144A">
      <w:pPr>
        <w:pStyle w:val="BodyText"/>
        <w:spacing w:line="360" w:lineRule="auto"/>
        <w:ind w:left="115" w:right="136"/>
        <w:jc w:val="both"/>
        <w:rPr>
          <w:sz w:val="20"/>
          <w:szCs w:val="20"/>
        </w:rPr>
      </w:pPr>
      <w:r w:rsidRPr="00C3144A">
        <w:rPr>
          <w:sz w:val="20"/>
          <w:szCs w:val="20"/>
        </w:rPr>
        <w:t xml:space="preserve">We have reported another vaccine-associated </w:t>
      </w:r>
      <w:proofErr w:type="spellStart"/>
      <w:r w:rsidRPr="00C3144A">
        <w:rPr>
          <w:sz w:val="20"/>
          <w:szCs w:val="20"/>
        </w:rPr>
        <w:t>Guillain</w:t>
      </w:r>
      <w:proofErr w:type="spellEnd"/>
      <w:r w:rsidRPr="00C3144A">
        <w:rPr>
          <w:sz w:val="20"/>
          <w:szCs w:val="20"/>
        </w:rPr>
        <w:t>–</w:t>
      </w:r>
      <w:proofErr w:type="spellStart"/>
      <w:r w:rsidRPr="00C3144A">
        <w:rPr>
          <w:sz w:val="20"/>
          <w:szCs w:val="20"/>
        </w:rPr>
        <w:t>Barrè</w:t>
      </w:r>
      <w:proofErr w:type="spellEnd"/>
      <w:r w:rsidRPr="00C3144A">
        <w:rPr>
          <w:sz w:val="20"/>
          <w:szCs w:val="20"/>
        </w:rPr>
        <w:t xml:space="preserve"> syndrome case due to Sars Cov 2 vaccine (Astra Zeneca) in </w:t>
      </w:r>
      <w:proofErr w:type="gramStart"/>
      <w:r w:rsidRPr="00C3144A">
        <w:rPr>
          <w:sz w:val="20"/>
          <w:szCs w:val="20"/>
        </w:rPr>
        <w:t>a women</w:t>
      </w:r>
      <w:proofErr w:type="gramEnd"/>
      <w:r w:rsidRPr="00C3144A">
        <w:rPr>
          <w:sz w:val="20"/>
          <w:szCs w:val="20"/>
        </w:rPr>
        <w:t xml:space="preserve">. Our case presentation was not strictly typical, with </w:t>
      </w:r>
      <w:proofErr w:type="spellStart"/>
      <w:r w:rsidRPr="00C3144A">
        <w:rPr>
          <w:sz w:val="20"/>
          <w:szCs w:val="20"/>
        </w:rPr>
        <w:t>occurence</w:t>
      </w:r>
      <w:proofErr w:type="spellEnd"/>
      <w:r w:rsidRPr="00C3144A">
        <w:rPr>
          <w:sz w:val="20"/>
          <w:szCs w:val="20"/>
        </w:rPr>
        <w:t xml:space="preserve"> of lower limb weakness, gait ataxia (and some sensory disorders).</w:t>
      </w:r>
    </w:p>
    <w:p w14:paraId="64075D2A" w14:textId="77777777" w:rsidR="002F028F" w:rsidRPr="00C3144A" w:rsidRDefault="002F028F" w:rsidP="00C3144A">
      <w:pPr>
        <w:pStyle w:val="BodyText"/>
        <w:spacing w:line="360" w:lineRule="auto"/>
        <w:ind w:left="115" w:right="136"/>
        <w:jc w:val="both"/>
        <w:rPr>
          <w:sz w:val="20"/>
          <w:szCs w:val="20"/>
        </w:rPr>
      </w:pPr>
    </w:p>
    <w:p w14:paraId="223EF1D5" w14:textId="4F57A7B3" w:rsidR="00940546" w:rsidRPr="00C3144A" w:rsidRDefault="00940546" w:rsidP="00C3144A">
      <w:pPr>
        <w:pStyle w:val="BodyText"/>
        <w:spacing w:line="360" w:lineRule="auto"/>
        <w:ind w:left="115" w:right="130"/>
        <w:jc w:val="both"/>
        <w:rPr>
          <w:sz w:val="20"/>
          <w:szCs w:val="20"/>
        </w:rPr>
      </w:pPr>
      <w:r w:rsidRPr="00C3144A">
        <w:rPr>
          <w:sz w:val="20"/>
          <w:szCs w:val="20"/>
        </w:rPr>
        <w:t xml:space="preserve">In GBS, the increase in protein in the liquor is observed in 66% of cases in the first week, and in 82% of cases in the second week </w:t>
      </w:r>
      <w:r w:rsidR="004E32ED">
        <w:rPr>
          <w:sz w:val="20"/>
          <w:szCs w:val="20"/>
        </w:rPr>
        <w:t>[</w:t>
      </w:r>
      <w:r w:rsidRPr="00C3144A">
        <w:rPr>
          <w:sz w:val="20"/>
          <w:szCs w:val="20"/>
        </w:rPr>
        <w:t>35</w:t>
      </w:r>
      <w:r w:rsidR="004E32ED">
        <w:rPr>
          <w:sz w:val="20"/>
          <w:szCs w:val="20"/>
        </w:rPr>
        <w:t>]</w:t>
      </w:r>
      <w:r w:rsidRPr="00C3144A">
        <w:rPr>
          <w:sz w:val="20"/>
          <w:szCs w:val="20"/>
        </w:rPr>
        <w:t xml:space="preserve">. At the time we performed lumbar puncture, there wasn’t a clear </w:t>
      </w:r>
      <w:proofErr w:type="spellStart"/>
      <w:r w:rsidRPr="00C3144A">
        <w:rPr>
          <w:sz w:val="20"/>
          <w:szCs w:val="20"/>
        </w:rPr>
        <w:t>albuminocytologic</w:t>
      </w:r>
      <w:proofErr w:type="spellEnd"/>
      <w:r w:rsidRPr="00C3144A">
        <w:rPr>
          <w:sz w:val="20"/>
          <w:szCs w:val="20"/>
        </w:rPr>
        <w:t xml:space="preserve"> dissociation, but the electrophysiological study revealed neurophysiological finding indicative of acute demyelinating sensory-motor polyneuropathy (AIDP) in the 4 limbs.</w:t>
      </w:r>
    </w:p>
    <w:p w14:paraId="63D02D47" w14:textId="4E0BC49C" w:rsidR="00940546" w:rsidRPr="00C3144A" w:rsidRDefault="00940546" w:rsidP="00C3144A">
      <w:pPr>
        <w:pStyle w:val="BodyText"/>
        <w:spacing w:line="360" w:lineRule="auto"/>
        <w:ind w:left="115" w:right="134"/>
        <w:jc w:val="both"/>
        <w:rPr>
          <w:sz w:val="20"/>
          <w:szCs w:val="20"/>
        </w:rPr>
      </w:pPr>
      <w:r w:rsidRPr="00C3144A">
        <w:rPr>
          <w:color w:val="202020"/>
          <w:sz w:val="20"/>
          <w:szCs w:val="20"/>
        </w:rPr>
        <w:t xml:space="preserve">In some GBS post COVID-19 vaccine already described, therapy with IV Ig exhibited only a marginal effect </w:t>
      </w:r>
      <w:r w:rsidR="004E32ED">
        <w:rPr>
          <w:color w:val="202020"/>
          <w:sz w:val="20"/>
          <w:szCs w:val="20"/>
        </w:rPr>
        <w:t>[</w:t>
      </w:r>
      <w:r w:rsidRPr="00C3144A">
        <w:rPr>
          <w:color w:val="202020"/>
          <w:sz w:val="20"/>
          <w:szCs w:val="20"/>
        </w:rPr>
        <w:t>28</w:t>
      </w:r>
      <w:r w:rsidR="004E32ED">
        <w:rPr>
          <w:color w:val="202020"/>
          <w:sz w:val="20"/>
          <w:szCs w:val="20"/>
        </w:rPr>
        <w:t>,</w:t>
      </w:r>
      <w:r w:rsidRPr="00C3144A">
        <w:rPr>
          <w:color w:val="202020"/>
          <w:sz w:val="20"/>
          <w:szCs w:val="20"/>
        </w:rPr>
        <w:t>29</w:t>
      </w:r>
      <w:r w:rsidR="004E32ED">
        <w:rPr>
          <w:color w:val="202020"/>
          <w:sz w:val="20"/>
          <w:szCs w:val="20"/>
        </w:rPr>
        <w:t>]</w:t>
      </w:r>
      <w:r w:rsidRPr="00C3144A">
        <w:rPr>
          <w:color w:val="202020"/>
          <w:sz w:val="20"/>
          <w:szCs w:val="20"/>
        </w:rPr>
        <w:t>.</w:t>
      </w:r>
    </w:p>
    <w:p w14:paraId="4465DFC6" w14:textId="098E0E18" w:rsidR="00940546" w:rsidRDefault="00940546" w:rsidP="00C3144A">
      <w:pPr>
        <w:pStyle w:val="BodyText"/>
        <w:spacing w:line="360" w:lineRule="auto"/>
        <w:ind w:left="115" w:right="133"/>
        <w:jc w:val="both"/>
        <w:rPr>
          <w:color w:val="202020"/>
          <w:sz w:val="20"/>
          <w:szCs w:val="20"/>
        </w:rPr>
      </w:pPr>
      <w:r w:rsidRPr="00C3144A">
        <w:rPr>
          <w:sz w:val="20"/>
          <w:szCs w:val="20"/>
        </w:rPr>
        <w:t xml:space="preserve">In our case, after an initial clinical recovery with clear benefit of therapy and physiotherapy, our patient presented </w:t>
      </w:r>
      <w:r w:rsidRPr="00C3144A">
        <w:rPr>
          <w:color w:val="202020"/>
          <w:sz w:val="20"/>
          <w:szCs w:val="20"/>
        </w:rPr>
        <w:t xml:space="preserve">treatment-related fluctuation (TRF). </w:t>
      </w:r>
      <w:r w:rsidRPr="00C3144A">
        <w:rPr>
          <w:sz w:val="20"/>
          <w:szCs w:val="20"/>
        </w:rPr>
        <w:t xml:space="preserve">Treatment related fluctuation (TRF) is defined as at least one grade increment in the GBS disability scale after completion of immunotherapy (immunoglobulin in this case) followed by at least one grade worsening of the disability scale within the first two months after disease onset </w:t>
      </w:r>
      <w:r w:rsidR="004E32ED">
        <w:rPr>
          <w:sz w:val="20"/>
          <w:szCs w:val="20"/>
        </w:rPr>
        <w:t>[</w:t>
      </w:r>
      <w:r w:rsidRPr="00C3144A">
        <w:rPr>
          <w:color w:val="202020"/>
          <w:sz w:val="20"/>
          <w:szCs w:val="20"/>
        </w:rPr>
        <w:t>36</w:t>
      </w:r>
      <w:r w:rsidR="004E32ED">
        <w:rPr>
          <w:color w:val="202020"/>
          <w:sz w:val="20"/>
          <w:szCs w:val="20"/>
        </w:rPr>
        <w:t>]</w:t>
      </w:r>
      <w:r w:rsidRPr="00C3144A">
        <w:rPr>
          <w:color w:val="202020"/>
          <w:sz w:val="20"/>
          <w:szCs w:val="20"/>
        </w:rPr>
        <w:t>. Often treatment-related fluctuation (TRF) required repeated IVIg treatment</w:t>
      </w:r>
      <w:r w:rsidRPr="00C3144A">
        <w:rPr>
          <w:color w:val="202020"/>
          <w:spacing w:val="-14"/>
          <w:sz w:val="20"/>
          <w:szCs w:val="20"/>
        </w:rPr>
        <w:t xml:space="preserve"> </w:t>
      </w:r>
      <w:r w:rsidR="004E32ED">
        <w:rPr>
          <w:color w:val="202020"/>
          <w:sz w:val="20"/>
          <w:szCs w:val="20"/>
        </w:rPr>
        <w:t>[</w:t>
      </w:r>
      <w:r w:rsidRPr="00C3144A">
        <w:rPr>
          <w:color w:val="202020"/>
          <w:sz w:val="20"/>
          <w:szCs w:val="20"/>
        </w:rPr>
        <w:t>30</w:t>
      </w:r>
      <w:r w:rsidR="004E32ED">
        <w:rPr>
          <w:color w:val="202020"/>
          <w:sz w:val="20"/>
          <w:szCs w:val="20"/>
        </w:rPr>
        <w:t>]</w:t>
      </w:r>
      <w:r w:rsidRPr="00C3144A">
        <w:rPr>
          <w:color w:val="202020"/>
          <w:sz w:val="20"/>
          <w:szCs w:val="20"/>
        </w:rPr>
        <w:t>.</w:t>
      </w:r>
    </w:p>
    <w:p w14:paraId="29BF6F89" w14:textId="77777777" w:rsidR="002F028F" w:rsidRPr="00C3144A" w:rsidRDefault="002F028F" w:rsidP="00C3144A">
      <w:pPr>
        <w:pStyle w:val="BodyText"/>
        <w:spacing w:line="360" w:lineRule="auto"/>
        <w:ind w:left="115" w:right="133"/>
        <w:jc w:val="both"/>
        <w:rPr>
          <w:sz w:val="20"/>
          <w:szCs w:val="20"/>
        </w:rPr>
      </w:pPr>
    </w:p>
    <w:p w14:paraId="13AC22BC" w14:textId="0F6FED12" w:rsidR="00940546" w:rsidRPr="00C3144A" w:rsidRDefault="00940546" w:rsidP="003D1932">
      <w:pPr>
        <w:pStyle w:val="BodyText"/>
        <w:spacing w:line="360" w:lineRule="auto"/>
        <w:ind w:left="115" w:right="136"/>
        <w:jc w:val="both"/>
        <w:rPr>
          <w:sz w:val="20"/>
          <w:szCs w:val="20"/>
        </w:rPr>
      </w:pPr>
      <w:r w:rsidRPr="00C3144A">
        <w:rPr>
          <w:sz w:val="20"/>
          <w:szCs w:val="20"/>
        </w:rPr>
        <w:t xml:space="preserve">Despite uncertain benefit and </w:t>
      </w:r>
      <w:proofErr w:type="spellStart"/>
      <w:r w:rsidRPr="00C3144A">
        <w:rPr>
          <w:sz w:val="20"/>
          <w:szCs w:val="20"/>
        </w:rPr>
        <w:t>and</w:t>
      </w:r>
      <w:proofErr w:type="spellEnd"/>
      <w:r w:rsidRPr="00C3144A">
        <w:rPr>
          <w:sz w:val="20"/>
          <w:szCs w:val="20"/>
        </w:rPr>
        <w:t xml:space="preserve"> the evidence of recent literature </w:t>
      </w:r>
      <w:r w:rsidR="004E32ED">
        <w:rPr>
          <w:sz w:val="20"/>
          <w:szCs w:val="20"/>
        </w:rPr>
        <w:t>[</w:t>
      </w:r>
      <w:r w:rsidRPr="00C3144A">
        <w:rPr>
          <w:sz w:val="20"/>
          <w:szCs w:val="20"/>
        </w:rPr>
        <w:t>37</w:t>
      </w:r>
      <w:r w:rsidR="004E32ED">
        <w:rPr>
          <w:sz w:val="20"/>
          <w:szCs w:val="20"/>
        </w:rPr>
        <w:t>]</w:t>
      </w:r>
      <w:r w:rsidRPr="00C3144A">
        <w:rPr>
          <w:sz w:val="20"/>
          <w:szCs w:val="20"/>
        </w:rPr>
        <w:t>, after a second dose of immunoglobulins (0.4 g/kg/day for 5 days every time one month apart), there was, and is still ongoing, a subsequent gradual new recovery.</w:t>
      </w:r>
      <w:r w:rsidR="003D1932">
        <w:rPr>
          <w:sz w:val="20"/>
          <w:szCs w:val="20"/>
        </w:rPr>
        <w:t xml:space="preserve"> </w:t>
      </w:r>
      <w:r w:rsidRPr="00C3144A">
        <w:rPr>
          <w:color w:val="202020"/>
          <w:sz w:val="20"/>
          <w:szCs w:val="20"/>
        </w:rPr>
        <w:t xml:space="preserve">We’ve found to date only one other described cases of GBS post COVID vaccine that have presented TRF </w:t>
      </w:r>
      <w:r w:rsidR="004E32ED">
        <w:rPr>
          <w:color w:val="202020"/>
          <w:sz w:val="20"/>
          <w:szCs w:val="20"/>
        </w:rPr>
        <w:t>[</w:t>
      </w:r>
      <w:r w:rsidRPr="00C3144A">
        <w:rPr>
          <w:color w:val="202020"/>
          <w:sz w:val="20"/>
          <w:szCs w:val="20"/>
        </w:rPr>
        <w:t>38</w:t>
      </w:r>
      <w:r w:rsidR="004E32ED">
        <w:rPr>
          <w:color w:val="202020"/>
          <w:sz w:val="20"/>
          <w:szCs w:val="20"/>
        </w:rPr>
        <w:t>]</w:t>
      </w:r>
      <w:r w:rsidRPr="00C3144A">
        <w:rPr>
          <w:color w:val="202020"/>
          <w:sz w:val="20"/>
          <w:szCs w:val="20"/>
        </w:rPr>
        <w:t>; also in this case patient was successfully treated with reinstitution of immunoglobulin therapy.</w:t>
      </w:r>
    </w:p>
    <w:p w14:paraId="6EBA59F8" w14:textId="77777777" w:rsidR="00940546" w:rsidRPr="00C3144A" w:rsidRDefault="00940546" w:rsidP="004E32ED">
      <w:pPr>
        <w:pStyle w:val="Heading1"/>
        <w:tabs>
          <w:tab w:val="left" w:pos="280"/>
        </w:tabs>
        <w:spacing w:before="66" w:line="360" w:lineRule="auto"/>
        <w:ind w:firstLine="0"/>
        <w:jc w:val="both"/>
        <w:rPr>
          <w:sz w:val="20"/>
          <w:szCs w:val="20"/>
        </w:rPr>
      </w:pPr>
      <w:bookmarkStart w:id="4" w:name="_TOC_250001"/>
      <w:bookmarkEnd w:id="4"/>
      <w:r w:rsidRPr="00C3144A">
        <w:rPr>
          <w:sz w:val="20"/>
          <w:szCs w:val="20"/>
        </w:rPr>
        <w:t>Conclusions</w:t>
      </w:r>
    </w:p>
    <w:p w14:paraId="7E1A8390" w14:textId="77777777" w:rsidR="00940546" w:rsidRPr="00C3144A" w:rsidRDefault="00940546" w:rsidP="00C3144A">
      <w:pPr>
        <w:pStyle w:val="BodyText"/>
        <w:spacing w:line="360" w:lineRule="auto"/>
        <w:jc w:val="both"/>
        <w:rPr>
          <w:b/>
          <w:sz w:val="20"/>
          <w:szCs w:val="20"/>
        </w:rPr>
      </w:pPr>
    </w:p>
    <w:p w14:paraId="5A3630E9" w14:textId="3DE6FAAB" w:rsidR="00940546" w:rsidRDefault="00940546" w:rsidP="00C3144A">
      <w:pPr>
        <w:pStyle w:val="BodyText"/>
        <w:spacing w:line="360" w:lineRule="auto"/>
        <w:ind w:left="115" w:right="138"/>
        <w:jc w:val="both"/>
        <w:rPr>
          <w:sz w:val="20"/>
          <w:szCs w:val="20"/>
        </w:rPr>
      </w:pPr>
      <w:r w:rsidRPr="00C3144A">
        <w:rPr>
          <w:sz w:val="20"/>
          <w:szCs w:val="20"/>
        </w:rPr>
        <w:t xml:space="preserve">To date, a potential association between the adenovirus vector vaccines (Janssen/Johnson &amp; Johnson COVID-19 vaccine and AstraZeneca COVID-19 vaccine) and </w:t>
      </w:r>
      <w:proofErr w:type="spellStart"/>
      <w:r w:rsidRPr="00C3144A">
        <w:rPr>
          <w:sz w:val="20"/>
          <w:szCs w:val="20"/>
        </w:rPr>
        <w:t>Guillain-Barrè</w:t>
      </w:r>
      <w:proofErr w:type="spellEnd"/>
      <w:r w:rsidRPr="00C3144A">
        <w:rPr>
          <w:sz w:val="20"/>
          <w:szCs w:val="20"/>
        </w:rPr>
        <w:t xml:space="preserve"> syndrome (GBS) is being investigated.</w:t>
      </w:r>
    </w:p>
    <w:p w14:paraId="612B5733" w14:textId="77777777" w:rsidR="002F028F" w:rsidRPr="00C3144A" w:rsidRDefault="002F028F" w:rsidP="00C3144A">
      <w:pPr>
        <w:pStyle w:val="BodyText"/>
        <w:spacing w:line="360" w:lineRule="auto"/>
        <w:ind w:left="115" w:right="138"/>
        <w:jc w:val="both"/>
        <w:rPr>
          <w:sz w:val="20"/>
          <w:szCs w:val="20"/>
        </w:rPr>
      </w:pPr>
    </w:p>
    <w:p w14:paraId="6BFF2F63" w14:textId="302692D1" w:rsidR="00940546" w:rsidRDefault="00940546" w:rsidP="00C3144A">
      <w:pPr>
        <w:pStyle w:val="BodyText"/>
        <w:spacing w:line="360" w:lineRule="auto"/>
        <w:ind w:left="115" w:right="128"/>
        <w:jc w:val="both"/>
        <w:rPr>
          <w:sz w:val="20"/>
          <w:szCs w:val="20"/>
        </w:rPr>
      </w:pPr>
      <w:r w:rsidRPr="00C3144A">
        <w:rPr>
          <w:sz w:val="20"/>
          <w:szCs w:val="20"/>
        </w:rPr>
        <w:t xml:space="preserve">We have reported another vaccine-associated </w:t>
      </w:r>
      <w:proofErr w:type="spellStart"/>
      <w:r w:rsidRPr="00C3144A">
        <w:rPr>
          <w:sz w:val="20"/>
          <w:szCs w:val="20"/>
        </w:rPr>
        <w:t>Guillain</w:t>
      </w:r>
      <w:proofErr w:type="spellEnd"/>
      <w:r w:rsidRPr="00C3144A">
        <w:rPr>
          <w:sz w:val="20"/>
          <w:szCs w:val="20"/>
        </w:rPr>
        <w:t>–</w:t>
      </w:r>
      <w:proofErr w:type="spellStart"/>
      <w:r w:rsidRPr="00C3144A">
        <w:rPr>
          <w:sz w:val="20"/>
          <w:szCs w:val="20"/>
        </w:rPr>
        <w:t>Barrè</w:t>
      </w:r>
      <w:proofErr w:type="spellEnd"/>
      <w:r w:rsidRPr="00C3144A">
        <w:rPr>
          <w:sz w:val="20"/>
          <w:szCs w:val="20"/>
        </w:rPr>
        <w:t xml:space="preserve"> syndrome case due to Sars Cov 2 vaccine (Astra Zeneca) in </w:t>
      </w:r>
      <w:proofErr w:type="gramStart"/>
      <w:r w:rsidRPr="00C3144A">
        <w:rPr>
          <w:sz w:val="20"/>
          <w:szCs w:val="20"/>
        </w:rPr>
        <w:t>a women</w:t>
      </w:r>
      <w:proofErr w:type="gramEnd"/>
      <w:r w:rsidRPr="00C3144A">
        <w:rPr>
          <w:sz w:val="20"/>
          <w:szCs w:val="20"/>
        </w:rPr>
        <w:t>; it was responsive to therapy with immunoglobulins, that, repeated and together with physiotherapy, led the patient to a gradual recovery. A</w:t>
      </w:r>
      <w:r w:rsidRPr="00C3144A">
        <w:rPr>
          <w:color w:val="202020"/>
          <w:sz w:val="20"/>
          <w:szCs w:val="20"/>
        </w:rPr>
        <w:t>bout 10% of GBS patients have a secondary deterioration within the first 8 weeks after start of IVIg (treatment-related fluctuation: TRF) (36)- but we do not know yet the frequency of TRF in this GBS subgroup</w:t>
      </w:r>
      <w:r w:rsidRPr="00C3144A">
        <w:rPr>
          <w:sz w:val="20"/>
          <w:szCs w:val="20"/>
        </w:rPr>
        <w:t xml:space="preserve">)- </w:t>
      </w:r>
      <w:r w:rsidRPr="00C3144A">
        <w:rPr>
          <w:color w:val="202020"/>
          <w:sz w:val="20"/>
          <w:szCs w:val="20"/>
        </w:rPr>
        <w:t xml:space="preserve">that are treated repeating IVIg treatment. </w:t>
      </w:r>
      <w:r w:rsidRPr="00C3144A">
        <w:rPr>
          <w:sz w:val="20"/>
          <w:szCs w:val="20"/>
        </w:rPr>
        <w:t>Generally, s</w:t>
      </w:r>
      <w:r w:rsidRPr="00C3144A">
        <w:rPr>
          <w:color w:val="222222"/>
          <w:sz w:val="20"/>
          <w:szCs w:val="20"/>
        </w:rPr>
        <w:t xml:space="preserve">econd course of IVIG is not beneficial for patients with severe </w:t>
      </w:r>
      <w:proofErr w:type="spellStart"/>
      <w:r w:rsidRPr="00C3144A">
        <w:rPr>
          <w:color w:val="222222"/>
          <w:sz w:val="20"/>
          <w:szCs w:val="20"/>
        </w:rPr>
        <w:t>Guillain-Barrè</w:t>
      </w:r>
      <w:proofErr w:type="spellEnd"/>
      <w:r w:rsidRPr="00C3144A">
        <w:rPr>
          <w:color w:val="222222"/>
          <w:sz w:val="20"/>
          <w:szCs w:val="20"/>
        </w:rPr>
        <w:t xml:space="preserve"> syndrome </w:t>
      </w:r>
      <w:r w:rsidRPr="00C3144A">
        <w:rPr>
          <w:sz w:val="20"/>
          <w:szCs w:val="20"/>
        </w:rPr>
        <w:t>(37), but we don’t know if in this GBS subgroup therapeutic outcome may differ.</w:t>
      </w:r>
    </w:p>
    <w:p w14:paraId="52DB30AB" w14:textId="77777777" w:rsidR="002F028F" w:rsidRPr="00C3144A" w:rsidRDefault="002F028F" w:rsidP="00C3144A">
      <w:pPr>
        <w:pStyle w:val="BodyText"/>
        <w:spacing w:line="360" w:lineRule="auto"/>
        <w:ind w:left="115" w:right="128"/>
        <w:jc w:val="both"/>
        <w:rPr>
          <w:sz w:val="20"/>
          <w:szCs w:val="20"/>
        </w:rPr>
      </w:pPr>
    </w:p>
    <w:p w14:paraId="37C9D384" w14:textId="14202A32" w:rsidR="00940546" w:rsidRDefault="00940546" w:rsidP="00C3144A">
      <w:pPr>
        <w:pStyle w:val="BodyText"/>
        <w:spacing w:before="1" w:line="360" w:lineRule="auto"/>
        <w:ind w:left="115" w:right="138"/>
        <w:jc w:val="both"/>
        <w:rPr>
          <w:sz w:val="20"/>
          <w:szCs w:val="20"/>
        </w:rPr>
      </w:pPr>
      <w:r w:rsidRPr="00C3144A">
        <w:rPr>
          <w:sz w:val="20"/>
          <w:szCs w:val="20"/>
        </w:rPr>
        <w:t>Based on the available data, the US FDA and CDC and European regulators affirm that the benefits of these vaccines outweigh their risks (43, 44). Someone, for people with a documented history of GBS, prefers suggest using COVID-19 vaccines other than adenovirus vector vaccines (exacerbation of previous GBS after viral vector vaccine has also been observed and described: (45)); this may be a reasonable choice to date, pending further data, but the safety of all available antiSarsCov2 vaccines is</w:t>
      </w:r>
      <w:r w:rsidRPr="00C3144A">
        <w:rPr>
          <w:spacing w:val="-3"/>
          <w:sz w:val="20"/>
          <w:szCs w:val="20"/>
        </w:rPr>
        <w:t xml:space="preserve"> </w:t>
      </w:r>
      <w:r w:rsidRPr="00C3144A">
        <w:rPr>
          <w:sz w:val="20"/>
          <w:szCs w:val="20"/>
        </w:rPr>
        <w:t>confirmed.</w:t>
      </w:r>
    </w:p>
    <w:p w14:paraId="30FF7B6F" w14:textId="542F1ECD" w:rsidR="004E32ED" w:rsidRDefault="004E32ED" w:rsidP="00C3144A">
      <w:pPr>
        <w:pStyle w:val="BodyText"/>
        <w:spacing w:before="1" w:line="360" w:lineRule="auto"/>
        <w:ind w:left="115" w:right="138"/>
        <w:jc w:val="both"/>
        <w:rPr>
          <w:sz w:val="20"/>
          <w:szCs w:val="20"/>
        </w:rPr>
      </w:pPr>
    </w:p>
    <w:p w14:paraId="011FAAA0" w14:textId="1130B5AF" w:rsidR="00940546" w:rsidRPr="00C3144A" w:rsidRDefault="004E32ED" w:rsidP="00DE59D5">
      <w:pPr>
        <w:pStyle w:val="BodyText"/>
        <w:spacing w:before="1" w:line="360" w:lineRule="auto"/>
        <w:ind w:left="115" w:right="138"/>
        <w:jc w:val="both"/>
        <w:rPr>
          <w:sz w:val="20"/>
          <w:szCs w:val="20"/>
        </w:rPr>
      </w:pPr>
      <w:r w:rsidRPr="004E32ED">
        <w:rPr>
          <w:b/>
          <w:bCs/>
          <w:sz w:val="20"/>
          <w:szCs w:val="20"/>
        </w:rPr>
        <w:t>References</w:t>
      </w:r>
    </w:p>
    <w:p w14:paraId="0D5A47CB" w14:textId="53CE5355" w:rsidR="004A62CA" w:rsidRPr="004A62CA" w:rsidRDefault="004A62CA" w:rsidP="004A62CA">
      <w:pPr>
        <w:spacing w:line="360" w:lineRule="auto"/>
        <w:jc w:val="both"/>
        <w:rPr>
          <w:sz w:val="20"/>
          <w:szCs w:val="20"/>
        </w:rPr>
      </w:pPr>
      <w:bookmarkStart w:id="5" w:name="_TOC_250000"/>
      <w:bookmarkEnd w:id="5"/>
      <w:r>
        <w:rPr>
          <w:sz w:val="20"/>
          <w:szCs w:val="20"/>
        </w:rPr>
        <w:t xml:space="preserve">1. </w:t>
      </w:r>
      <w:r w:rsidRPr="004A62CA">
        <w:rPr>
          <w:sz w:val="20"/>
          <w:szCs w:val="20"/>
        </w:rPr>
        <w:t>Walling AD, Dickson G</w:t>
      </w:r>
      <w:r>
        <w:rPr>
          <w:sz w:val="20"/>
          <w:szCs w:val="20"/>
        </w:rPr>
        <w:t xml:space="preserve"> (2013)</w:t>
      </w:r>
      <w:r w:rsidRPr="004A62CA">
        <w:rPr>
          <w:sz w:val="20"/>
          <w:szCs w:val="20"/>
        </w:rPr>
        <w:t xml:space="preserve"> </w:t>
      </w:r>
      <w:proofErr w:type="spellStart"/>
      <w:r w:rsidRPr="004A62CA">
        <w:rPr>
          <w:sz w:val="20"/>
          <w:szCs w:val="20"/>
        </w:rPr>
        <w:t>Guillain</w:t>
      </w:r>
      <w:proofErr w:type="spellEnd"/>
      <w:r w:rsidRPr="004A62CA">
        <w:rPr>
          <w:sz w:val="20"/>
          <w:szCs w:val="20"/>
        </w:rPr>
        <w:t>–</w:t>
      </w:r>
      <w:proofErr w:type="spellStart"/>
      <w:r w:rsidRPr="004A62CA">
        <w:rPr>
          <w:sz w:val="20"/>
          <w:szCs w:val="20"/>
        </w:rPr>
        <w:t>Barrè</w:t>
      </w:r>
      <w:proofErr w:type="spellEnd"/>
      <w:r w:rsidRPr="004A62CA">
        <w:rPr>
          <w:sz w:val="20"/>
          <w:szCs w:val="20"/>
        </w:rPr>
        <w:t xml:space="preserve"> syndrome Am Fam Physician</w:t>
      </w:r>
      <w:r>
        <w:rPr>
          <w:sz w:val="20"/>
          <w:szCs w:val="20"/>
        </w:rPr>
        <w:t xml:space="preserve"> </w:t>
      </w:r>
      <w:r w:rsidRPr="004A62CA">
        <w:rPr>
          <w:sz w:val="20"/>
          <w:szCs w:val="20"/>
        </w:rPr>
        <w:t>87:</w:t>
      </w:r>
      <w:r>
        <w:rPr>
          <w:sz w:val="20"/>
          <w:szCs w:val="20"/>
        </w:rPr>
        <w:t xml:space="preserve"> </w:t>
      </w:r>
      <w:r w:rsidRPr="004A62CA">
        <w:rPr>
          <w:sz w:val="20"/>
          <w:szCs w:val="20"/>
        </w:rPr>
        <w:t>191- 7.</w:t>
      </w:r>
    </w:p>
    <w:p w14:paraId="5B80F071" w14:textId="77777777" w:rsidR="004A62CA" w:rsidRPr="004A62CA" w:rsidRDefault="004A62CA" w:rsidP="004A62CA">
      <w:pPr>
        <w:spacing w:line="360" w:lineRule="auto"/>
        <w:jc w:val="both"/>
        <w:rPr>
          <w:sz w:val="20"/>
          <w:szCs w:val="20"/>
        </w:rPr>
      </w:pPr>
    </w:p>
    <w:p w14:paraId="7C94F3A4" w14:textId="620EFD1A" w:rsidR="004A62CA" w:rsidRPr="004A62CA" w:rsidRDefault="004A62CA" w:rsidP="004A62CA">
      <w:pPr>
        <w:spacing w:line="360" w:lineRule="auto"/>
        <w:jc w:val="both"/>
        <w:rPr>
          <w:sz w:val="20"/>
          <w:szCs w:val="20"/>
        </w:rPr>
      </w:pPr>
      <w:r>
        <w:rPr>
          <w:sz w:val="20"/>
          <w:szCs w:val="20"/>
        </w:rPr>
        <w:t xml:space="preserve">2. </w:t>
      </w:r>
      <w:proofErr w:type="spellStart"/>
      <w:r w:rsidRPr="004A62CA">
        <w:rPr>
          <w:sz w:val="20"/>
          <w:szCs w:val="20"/>
        </w:rPr>
        <w:t>Alshekhlee</w:t>
      </w:r>
      <w:proofErr w:type="spellEnd"/>
      <w:r w:rsidRPr="004A62CA">
        <w:rPr>
          <w:sz w:val="20"/>
          <w:szCs w:val="20"/>
        </w:rPr>
        <w:t xml:space="preserve"> A, Hussain Z, Sultan B, </w:t>
      </w:r>
      <w:proofErr w:type="spellStart"/>
      <w:r w:rsidRPr="004A62CA">
        <w:rPr>
          <w:sz w:val="20"/>
          <w:szCs w:val="20"/>
        </w:rPr>
        <w:t>Katirji</w:t>
      </w:r>
      <w:proofErr w:type="spellEnd"/>
      <w:r w:rsidRPr="004A62CA">
        <w:rPr>
          <w:sz w:val="20"/>
          <w:szCs w:val="20"/>
        </w:rPr>
        <w:t xml:space="preserve"> B</w:t>
      </w:r>
      <w:r>
        <w:rPr>
          <w:sz w:val="20"/>
          <w:szCs w:val="20"/>
        </w:rPr>
        <w:t xml:space="preserve"> (2008)</w:t>
      </w:r>
      <w:r w:rsidRPr="004A62CA">
        <w:rPr>
          <w:sz w:val="20"/>
          <w:szCs w:val="20"/>
        </w:rPr>
        <w:t xml:space="preserve"> </w:t>
      </w:r>
      <w:proofErr w:type="spellStart"/>
      <w:r w:rsidRPr="004A62CA">
        <w:rPr>
          <w:sz w:val="20"/>
          <w:szCs w:val="20"/>
        </w:rPr>
        <w:t>Guillain-Barré</w:t>
      </w:r>
      <w:proofErr w:type="spellEnd"/>
      <w:r w:rsidRPr="004A62CA">
        <w:rPr>
          <w:sz w:val="20"/>
          <w:szCs w:val="20"/>
        </w:rPr>
        <w:t xml:space="preserve"> syndrome: incidence and mortality rates in US hospitals. Neurology</w:t>
      </w:r>
      <w:r>
        <w:rPr>
          <w:sz w:val="20"/>
          <w:szCs w:val="20"/>
        </w:rPr>
        <w:t xml:space="preserve"> </w:t>
      </w:r>
      <w:r w:rsidRPr="004A62CA">
        <w:rPr>
          <w:sz w:val="20"/>
          <w:szCs w:val="20"/>
        </w:rPr>
        <w:t>70:</w:t>
      </w:r>
      <w:r>
        <w:rPr>
          <w:sz w:val="20"/>
          <w:szCs w:val="20"/>
        </w:rPr>
        <w:t xml:space="preserve"> </w:t>
      </w:r>
      <w:r w:rsidRPr="004A62CA">
        <w:rPr>
          <w:sz w:val="20"/>
          <w:szCs w:val="20"/>
        </w:rPr>
        <w:t>1608–13.</w:t>
      </w:r>
    </w:p>
    <w:p w14:paraId="7953DD8D" w14:textId="77777777" w:rsidR="004A62CA" w:rsidRPr="004A62CA" w:rsidRDefault="004A62CA" w:rsidP="004A62CA">
      <w:pPr>
        <w:spacing w:line="360" w:lineRule="auto"/>
        <w:jc w:val="both"/>
        <w:rPr>
          <w:sz w:val="20"/>
          <w:szCs w:val="20"/>
        </w:rPr>
      </w:pPr>
    </w:p>
    <w:p w14:paraId="2167578C" w14:textId="2AFAA0E1" w:rsidR="004A62CA" w:rsidRPr="004A62CA" w:rsidRDefault="004A62CA" w:rsidP="004A62CA">
      <w:pPr>
        <w:spacing w:line="360" w:lineRule="auto"/>
        <w:jc w:val="both"/>
        <w:rPr>
          <w:sz w:val="20"/>
          <w:szCs w:val="20"/>
        </w:rPr>
      </w:pPr>
      <w:r>
        <w:rPr>
          <w:sz w:val="20"/>
          <w:szCs w:val="20"/>
        </w:rPr>
        <w:lastRenderedPageBreak/>
        <w:t xml:space="preserve">3. </w:t>
      </w:r>
      <w:r w:rsidRPr="004A62CA">
        <w:rPr>
          <w:sz w:val="20"/>
          <w:szCs w:val="20"/>
        </w:rPr>
        <w:t xml:space="preserve">Rees JH, </w:t>
      </w:r>
      <w:proofErr w:type="spellStart"/>
      <w:r w:rsidRPr="004A62CA">
        <w:rPr>
          <w:sz w:val="20"/>
          <w:szCs w:val="20"/>
        </w:rPr>
        <w:t>Soudain</w:t>
      </w:r>
      <w:proofErr w:type="spellEnd"/>
      <w:r w:rsidRPr="004A62CA">
        <w:rPr>
          <w:sz w:val="20"/>
          <w:szCs w:val="20"/>
        </w:rPr>
        <w:t xml:space="preserve"> SE, Gregson NA, Hughes RA</w:t>
      </w:r>
      <w:r>
        <w:rPr>
          <w:sz w:val="20"/>
          <w:szCs w:val="20"/>
        </w:rPr>
        <w:t xml:space="preserve"> (1995)</w:t>
      </w:r>
      <w:r w:rsidRPr="004A62CA">
        <w:rPr>
          <w:sz w:val="20"/>
          <w:szCs w:val="20"/>
        </w:rPr>
        <w:t xml:space="preserve"> Campylobacter </w:t>
      </w:r>
      <w:proofErr w:type="spellStart"/>
      <w:r w:rsidRPr="004A62CA">
        <w:rPr>
          <w:sz w:val="20"/>
          <w:szCs w:val="20"/>
        </w:rPr>
        <w:t>jejuni</w:t>
      </w:r>
      <w:proofErr w:type="spellEnd"/>
      <w:r w:rsidRPr="004A62CA">
        <w:rPr>
          <w:sz w:val="20"/>
          <w:szCs w:val="20"/>
        </w:rPr>
        <w:t xml:space="preserve"> infection and </w:t>
      </w:r>
      <w:proofErr w:type="spellStart"/>
      <w:r w:rsidRPr="004A62CA">
        <w:rPr>
          <w:sz w:val="20"/>
          <w:szCs w:val="20"/>
        </w:rPr>
        <w:t>Guillain</w:t>
      </w:r>
      <w:proofErr w:type="spellEnd"/>
      <w:r w:rsidRPr="004A62CA">
        <w:rPr>
          <w:sz w:val="20"/>
          <w:szCs w:val="20"/>
        </w:rPr>
        <w:t xml:space="preserve">- </w:t>
      </w:r>
      <w:proofErr w:type="spellStart"/>
      <w:r w:rsidRPr="004A62CA">
        <w:rPr>
          <w:sz w:val="20"/>
          <w:szCs w:val="20"/>
        </w:rPr>
        <w:t>Barrésyndrome</w:t>
      </w:r>
      <w:proofErr w:type="spellEnd"/>
      <w:r w:rsidRPr="004A62CA">
        <w:rPr>
          <w:sz w:val="20"/>
          <w:szCs w:val="20"/>
        </w:rPr>
        <w:t>.</w:t>
      </w:r>
    </w:p>
    <w:p w14:paraId="149649F0" w14:textId="701F5268" w:rsidR="004A62CA" w:rsidRPr="004A62CA" w:rsidRDefault="004A62CA" w:rsidP="004A62CA">
      <w:pPr>
        <w:spacing w:line="360" w:lineRule="auto"/>
        <w:jc w:val="both"/>
        <w:rPr>
          <w:sz w:val="20"/>
          <w:szCs w:val="20"/>
        </w:rPr>
      </w:pPr>
      <w:r w:rsidRPr="004A62CA">
        <w:rPr>
          <w:sz w:val="20"/>
          <w:szCs w:val="20"/>
        </w:rPr>
        <w:t xml:space="preserve">AU N </w:t>
      </w:r>
      <w:proofErr w:type="spellStart"/>
      <w:r w:rsidRPr="004A62CA">
        <w:rPr>
          <w:sz w:val="20"/>
          <w:szCs w:val="20"/>
        </w:rPr>
        <w:t>Engl</w:t>
      </w:r>
      <w:proofErr w:type="spellEnd"/>
      <w:r w:rsidRPr="004A62CA">
        <w:rPr>
          <w:sz w:val="20"/>
          <w:szCs w:val="20"/>
        </w:rPr>
        <w:t xml:space="preserve"> J Med</w:t>
      </w:r>
      <w:r>
        <w:rPr>
          <w:sz w:val="20"/>
          <w:szCs w:val="20"/>
        </w:rPr>
        <w:t xml:space="preserve"> </w:t>
      </w:r>
      <w:r w:rsidRPr="004A62CA">
        <w:rPr>
          <w:sz w:val="20"/>
          <w:szCs w:val="20"/>
        </w:rPr>
        <w:t>333:</w:t>
      </w:r>
      <w:r>
        <w:rPr>
          <w:sz w:val="20"/>
          <w:szCs w:val="20"/>
        </w:rPr>
        <w:t xml:space="preserve"> </w:t>
      </w:r>
      <w:r w:rsidRPr="004A62CA">
        <w:rPr>
          <w:sz w:val="20"/>
          <w:szCs w:val="20"/>
        </w:rPr>
        <w:t>1374.</w:t>
      </w:r>
    </w:p>
    <w:p w14:paraId="649F38E1" w14:textId="77777777" w:rsidR="004A62CA" w:rsidRPr="004A62CA" w:rsidRDefault="004A62CA" w:rsidP="004A62CA">
      <w:pPr>
        <w:spacing w:line="360" w:lineRule="auto"/>
        <w:jc w:val="both"/>
        <w:rPr>
          <w:sz w:val="20"/>
          <w:szCs w:val="20"/>
        </w:rPr>
      </w:pPr>
    </w:p>
    <w:p w14:paraId="4B55EE86" w14:textId="506A893A" w:rsidR="004A62CA" w:rsidRPr="004A62CA" w:rsidRDefault="004A62CA" w:rsidP="004A62CA">
      <w:pPr>
        <w:spacing w:line="360" w:lineRule="auto"/>
        <w:jc w:val="both"/>
        <w:rPr>
          <w:sz w:val="20"/>
          <w:szCs w:val="20"/>
        </w:rPr>
      </w:pPr>
      <w:r>
        <w:rPr>
          <w:sz w:val="20"/>
          <w:szCs w:val="20"/>
        </w:rPr>
        <w:t xml:space="preserve">4. </w:t>
      </w:r>
      <w:r w:rsidRPr="004A62CA">
        <w:rPr>
          <w:sz w:val="20"/>
          <w:szCs w:val="20"/>
        </w:rPr>
        <w:t xml:space="preserve">Hao Y, Wang W, Jacobs BC, </w:t>
      </w:r>
      <w:proofErr w:type="spellStart"/>
      <w:r w:rsidRPr="004A62CA">
        <w:rPr>
          <w:sz w:val="20"/>
          <w:szCs w:val="20"/>
        </w:rPr>
        <w:t>Qiao</w:t>
      </w:r>
      <w:proofErr w:type="spellEnd"/>
      <w:r w:rsidRPr="004A62CA">
        <w:rPr>
          <w:sz w:val="20"/>
          <w:szCs w:val="20"/>
        </w:rPr>
        <w:t xml:space="preserve"> B, Chen M, </w:t>
      </w:r>
      <w:r>
        <w:rPr>
          <w:sz w:val="20"/>
          <w:szCs w:val="20"/>
        </w:rPr>
        <w:t>et al. (2019)</w:t>
      </w:r>
      <w:r w:rsidRPr="004A62CA">
        <w:rPr>
          <w:sz w:val="20"/>
          <w:szCs w:val="20"/>
        </w:rPr>
        <w:t xml:space="preserve"> Antecedent infections in </w:t>
      </w:r>
      <w:proofErr w:type="spellStart"/>
      <w:r w:rsidRPr="004A62CA">
        <w:rPr>
          <w:sz w:val="20"/>
          <w:szCs w:val="20"/>
        </w:rPr>
        <w:t>Guillain</w:t>
      </w:r>
      <w:proofErr w:type="spellEnd"/>
      <w:r w:rsidRPr="004A62CA">
        <w:rPr>
          <w:sz w:val="20"/>
          <w:szCs w:val="20"/>
        </w:rPr>
        <w:t xml:space="preserve">- </w:t>
      </w:r>
      <w:proofErr w:type="spellStart"/>
      <w:r w:rsidRPr="004A62CA">
        <w:rPr>
          <w:sz w:val="20"/>
          <w:szCs w:val="20"/>
        </w:rPr>
        <w:t>Barrésyndrome</w:t>
      </w:r>
      <w:proofErr w:type="spellEnd"/>
      <w:r w:rsidRPr="004A62CA">
        <w:rPr>
          <w:sz w:val="20"/>
          <w:szCs w:val="20"/>
        </w:rPr>
        <w:t xml:space="preserve">: a single-center, prospective study. AU Ann </w:t>
      </w:r>
      <w:proofErr w:type="spellStart"/>
      <w:r w:rsidRPr="004A62CA">
        <w:rPr>
          <w:sz w:val="20"/>
          <w:szCs w:val="20"/>
        </w:rPr>
        <w:t>Clin</w:t>
      </w:r>
      <w:proofErr w:type="spellEnd"/>
      <w:r w:rsidRPr="004A62CA">
        <w:rPr>
          <w:sz w:val="20"/>
          <w:szCs w:val="20"/>
        </w:rPr>
        <w:t xml:space="preserve"> </w:t>
      </w:r>
      <w:proofErr w:type="spellStart"/>
      <w:r w:rsidRPr="004A62CA">
        <w:rPr>
          <w:sz w:val="20"/>
          <w:szCs w:val="20"/>
        </w:rPr>
        <w:t>Transl</w:t>
      </w:r>
      <w:proofErr w:type="spellEnd"/>
      <w:r w:rsidRPr="004A62CA">
        <w:rPr>
          <w:sz w:val="20"/>
          <w:szCs w:val="20"/>
        </w:rPr>
        <w:t xml:space="preserve"> </w:t>
      </w:r>
      <w:proofErr w:type="spellStart"/>
      <w:r w:rsidRPr="004A62CA">
        <w:rPr>
          <w:sz w:val="20"/>
          <w:szCs w:val="20"/>
        </w:rPr>
        <w:t>Neurol</w:t>
      </w:r>
      <w:proofErr w:type="spellEnd"/>
      <w:r>
        <w:rPr>
          <w:sz w:val="20"/>
          <w:szCs w:val="20"/>
        </w:rPr>
        <w:t xml:space="preserve"> </w:t>
      </w:r>
      <w:r w:rsidRPr="004A62CA">
        <w:rPr>
          <w:sz w:val="20"/>
          <w:szCs w:val="20"/>
        </w:rPr>
        <w:t>6:</w:t>
      </w:r>
      <w:r>
        <w:rPr>
          <w:sz w:val="20"/>
          <w:szCs w:val="20"/>
        </w:rPr>
        <w:t xml:space="preserve"> </w:t>
      </w:r>
      <w:r w:rsidRPr="004A62CA">
        <w:rPr>
          <w:sz w:val="20"/>
          <w:szCs w:val="20"/>
        </w:rPr>
        <w:t>2510.</w:t>
      </w:r>
    </w:p>
    <w:p w14:paraId="3AAC5BE7" w14:textId="77777777" w:rsidR="004A62CA" w:rsidRPr="004A62CA" w:rsidRDefault="004A62CA" w:rsidP="004A62CA">
      <w:pPr>
        <w:spacing w:line="360" w:lineRule="auto"/>
        <w:jc w:val="both"/>
        <w:rPr>
          <w:sz w:val="20"/>
          <w:szCs w:val="20"/>
        </w:rPr>
      </w:pPr>
    </w:p>
    <w:p w14:paraId="014E82DD" w14:textId="6883C621" w:rsidR="004A62CA" w:rsidRPr="004A62CA" w:rsidRDefault="004A62CA" w:rsidP="004A62CA">
      <w:pPr>
        <w:spacing w:line="360" w:lineRule="auto"/>
        <w:jc w:val="both"/>
        <w:rPr>
          <w:sz w:val="20"/>
          <w:szCs w:val="20"/>
        </w:rPr>
      </w:pPr>
      <w:r>
        <w:rPr>
          <w:sz w:val="20"/>
          <w:szCs w:val="20"/>
        </w:rPr>
        <w:t xml:space="preserve">5. </w:t>
      </w:r>
      <w:proofErr w:type="spellStart"/>
      <w:r w:rsidRPr="004A62CA">
        <w:rPr>
          <w:sz w:val="20"/>
          <w:szCs w:val="20"/>
        </w:rPr>
        <w:t>Orlikowski</w:t>
      </w:r>
      <w:proofErr w:type="spellEnd"/>
      <w:r w:rsidRPr="004A62CA">
        <w:rPr>
          <w:sz w:val="20"/>
          <w:szCs w:val="20"/>
        </w:rPr>
        <w:t xml:space="preserve"> D, </w:t>
      </w:r>
      <w:proofErr w:type="spellStart"/>
      <w:r w:rsidRPr="004A62CA">
        <w:rPr>
          <w:sz w:val="20"/>
          <w:szCs w:val="20"/>
        </w:rPr>
        <w:t>Porcher</w:t>
      </w:r>
      <w:proofErr w:type="spellEnd"/>
      <w:r w:rsidRPr="004A62CA">
        <w:rPr>
          <w:sz w:val="20"/>
          <w:szCs w:val="20"/>
        </w:rPr>
        <w:t xml:space="preserve"> R, </w:t>
      </w:r>
      <w:proofErr w:type="spellStart"/>
      <w:r w:rsidRPr="004A62CA">
        <w:rPr>
          <w:sz w:val="20"/>
          <w:szCs w:val="20"/>
        </w:rPr>
        <w:t>Sivadon</w:t>
      </w:r>
      <w:proofErr w:type="spellEnd"/>
      <w:r w:rsidRPr="004A62CA">
        <w:rPr>
          <w:sz w:val="20"/>
          <w:szCs w:val="20"/>
        </w:rPr>
        <w:t xml:space="preserve">-Tardy V, </w:t>
      </w:r>
      <w:proofErr w:type="spellStart"/>
      <w:r w:rsidRPr="004A62CA">
        <w:rPr>
          <w:sz w:val="20"/>
          <w:szCs w:val="20"/>
        </w:rPr>
        <w:t>Quincampoix</w:t>
      </w:r>
      <w:proofErr w:type="spellEnd"/>
      <w:r w:rsidRPr="004A62CA">
        <w:rPr>
          <w:sz w:val="20"/>
          <w:szCs w:val="20"/>
        </w:rPr>
        <w:t xml:space="preserve"> JC, Raphaël JC, </w:t>
      </w:r>
      <w:r>
        <w:rPr>
          <w:sz w:val="20"/>
          <w:szCs w:val="20"/>
        </w:rPr>
        <w:t>et al. (2011)</w:t>
      </w:r>
      <w:r w:rsidRPr="004A62CA">
        <w:rPr>
          <w:sz w:val="20"/>
          <w:szCs w:val="20"/>
        </w:rPr>
        <w:t xml:space="preserve"> </w:t>
      </w:r>
      <w:proofErr w:type="spellStart"/>
      <w:r w:rsidRPr="004A62CA">
        <w:rPr>
          <w:sz w:val="20"/>
          <w:szCs w:val="20"/>
        </w:rPr>
        <w:t>Guillain-Barrésyndrome</w:t>
      </w:r>
      <w:proofErr w:type="spellEnd"/>
      <w:r w:rsidRPr="004A62CA">
        <w:rPr>
          <w:sz w:val="20"/>
          <w:szCs w:val="20"/>
        </w:rPr>
        <w:t xml:space="preserve"> following primary cytomegalovirus infection: a prospective cohort study. AU Clin Infect Dis</w:t>
      </w:r>
      <w:r>
        <w:rPr>
          <w:sz w:val="20"/>
          <w:szCs w:val="20"/>
        </w:rPr>
        <w:t xml:space="preserve"> </w:t>
      </w:r>
      <w:r w:rsidRPr="004A62CA">
        <w:rPr>
          <w:sz w:val="20"/>
          <w:szCs w:val="20"/>
        </w:rPr>
        <w:t>52:</w:t>
      </w:r>
      <w:r>
        <w:rPr>
          <w:sz w:val="20"/>
          <w:szCs w:val="20"/>
        </w:rPr>
        <w:t xml:space="preserve"> </w:t>
      </w:r>
      <w:r w:rsidRPr="004A62CA">
        <w:rPr>
          <w:sz w:val="20"/>
          <w:szCs w:val="20"/>
        </w:rPr>
        <w:t>837.</w:t>
      </w:r>
    </w:p>
    <w:p w14:paraId="3BFF18E0" w14:textId="77777777" w:rsidR="004A62CA" w:rsidRPr="004A62CA" w:rsidRDefault="004A62CA" w:rsidP="004A62CA">
      <w:pPr>
        <w:spacing w:line="360" w:lineRule="auto"/>
        <w:jc w:val="both"/>
        <w:rPr>
          <w:sz w:val="20"/>
          <w:szCs w:val="20"/>
        </w:rPr>
      </w:pPr>
    </w:p>
    <w:p w14:paraId="446A12E2" w14:textId="1D0F35F0" w:rsidR="004A62CA" w:rsidRPr="004A62CA" w:rsidRDefault="004A62CA" w:rsidP="004A62CA">
      <w:pPr>
        <w:spacing w:line="360" w:lineRule="auto"/>
        <w:jc w:val="both"/>
        <w:rPr>
          <w:sz w:val="20"/>
          <w:szCs w:val="20"/>
        </w:rPr>
      </w:pPr>
      <w:r>
        <w:rPr>
          <w:sz w:val="20"/>
          <w:szCs w:val="20"/>
        </w:rPr>
        <w:t xml:space="preserve">6. </w:t>
      </w:r>
      <w:proofErr w:type="spellStart"/>
      <w:r w:rsidRPr="004A62CA">
        <w:rPr>
          <w:sz w:val="20"/>
          <w:szCs w:val="20"/>
        </w:rPr>
        <w:t>Steininger</w:t>
      </w:r>
      <w:proofErr w:type="spellEnd"/>
      <w:r w:rsidRPr="004A62CA">
        <w:rPr>
          <w:sz w:val="20"/>
          <w:szCs w:val="20"/>
        </w:rPr>
        <w:t xml:space="preserve"> C, </w:t>
      </w:r>
      <w:proofErr w:type="spellStart"/>
      <w:r w:rsidRPr="004A62CA">
        <w:rPr>
          <w:sz w:val="20"/>
          <w:szCs w:val="20"/>
        </w:rPr>
        <w:t>Popow-Kraupp</w:t>
      </w:r>
      <w:proofErr w:type="spellEnd"/>
      <w:r w:rsidRPr="004A62CA">
        <w:rPr>
          <w:sz w:val="20"/>
          <w:szCs w:val="20"/>
        </w:rPr>
        <w:t xml:space="preserve"> T, </w:t>
      </w:r>
      <w:proofErr w:type="spellStart"/>
      <w:r w:rsidRPr="004A62CA">
        <w:rPr>
          <w:sz w:val="20"/>
          <w:szCs w:val="20"/>
        </w:rPr>
        <w:t>Seiser</w:t>
      </w:r>
      <w:proofErr w:type="spellEnd"/>
      <w:r w:rsidRPr="004A62CA">
        <w:rPr>
          <w:sz w:val="20"/>
          <w:szCs w:val="20"/>
        </w:rPr>
        <w:t xml:space="preserve"> A, </w:t>
      </w:r>
      <w:proofErr w:type="spellStart"/>
      <w:r w:rsidRPr="004A62CA">
        <w:rPr>
          <w:sz w:val="20"/>
          <w:szCs w:val="20"/>
        </w:rPr>
        <w:t>Gueler</w:t>
      </w:r>
      <w:proofErr w:type="spellEnd"/>
      <w:r w:rsidRPr="004A62CA">
        <w:rPr>
          <w:sz w:val="20"/>
          <w:szCs w:val="20"/>
        </w:rPr>
        <w:t xml:space="preserve"> N, Stanek G, </w:t>
      </w:r>
      <w:r>
        <w:rPr>
          <w:sz w:val="20"/>
          <w:szCs w:val="20"/>
        </w:rPr>
        <w:t>et al. (2004)</w:t>
      </w:r>
      <w:r w:rsidRPr="004A62CA">
        <w:rPr>
          <w:sz w:val="20"/>
          <w:szCs w:val="20"/>
        </w:rPr>
        <w:t xml:space="preserve"> Presence of cytomegalovirus in cerebrospinal fluid of patients with Guillain-Barre syndrome. AU J Infect Dis</w:t>
      </w:r>
      <w:r>
        <w:rPr>
          <w:sz w:val="20"/>
          <w:szCs w:val="20"/>
        </w:rPr>
        <w:t xml:space="preserve"> </w:t>
      </w:r>
      <w:r w:rsidRPr="004A62CA">
        <w:rPr>
          <w:sz w:val="20"/>
          <w:szCs w:val="20"/>
        </w:rPr>
        <w:t>189:</w:t>
      </w:r>
      <w:r>
        <w:rPr>
          <w:sz w:val="20"/>
          <w:szCs w:val="20"/>
        </w:rPr>
        <w:t xml:space="preserve"> </w:t>
      </w:r>
      <w:r w:rsidRPr="004A62CA">
        <w:rPr>
          <w:sz w:val="20"/>
          <w:szCs w:val="20"/>
        </w:rPr>
        <w:t>984.</w:t>
      </w:r>
    </w:p>
    <w:p w14:paraId="34632E4F" w14:textId="77777777" w:rsidR="004A62CA" w:rsidRPr="004A62CA" w:rsidRDefault="004A62CA" w:rsidP="004A62CA">
      <w:pPr>
        <w:spacing w:line="360" w:lineRule="auto"/>
        <w:jc w:val="both"/>
        <w:rPr>
          <w:sz w:val="20"/>
          <w:szCs w:val="20"/>
        </w:rPr>
      </w:pPr>
    </w:p>
    <w:p w14:paraId="5BF46E1B" w14:textId="2341F568" w:rsidR="004A62CA" w:rsidRPr="004A62CA" w:rsidRDefault="004A62CA" w:rsidP="004A62CA">
      <w:pPr>
        <w:spacing w:line="360" w:lineRule="auto"/>
        <w:jc w:val="both"/>
        <w:rPr>
          <w:sz w:val="20"/>
          <w:szCs w:val="20"/>
        </w:rPr>
      </w:pPr>
      <w:r>
        <w:rPr>
          <w:sz w:val="20"/>
          <w:szCs w:val="20"/>
        </w:rPr>
        <w:t xml:space="preserve">7. </w:t>
      </w:r>
      <w:r w:rsidRPr="004A62CA">
        <w:rPr>
          <w:sz w:val="20"/>
          <w:szCs w:val="20"/>
        </w:rPr>
        <w:t xml:space="preserve">Espinosa PS, Rizvi Z, Sharma P, Hindi F, </w:t>
      </w:r>
      <w:proofErr w:type="spellStart"/>
      <w:r w:rsidRPr="004A62CA">
        <w:rPr>
          <w:sz w:val="20"/>
          <w:szCs w:val="20"/>
        </w:rPr>
        <w:t>Filatov</w:t>
      </w:r>
      <w:proofErr w:type="spellEnd"/>
      <w:r w:rsidRPr="004A62CA">
        <w:rPr>
          <w:sz w:val="20"/>
          <w:szCs w:val="20"/>
        </w:rPr>
        <w:t xml:space="preserve"> A</w:t>
      </w:r>
      <w:r>
        <w:rPr>
          <w:sz w:val="20"/>
          <w:szCs w:val="20"/>
        </w:rPr>
        <w:t xml:space="preserve"> (2020)</w:t>
      </w:r>
      <w:r w:rsidRPr="004A62CA">
        <w:rPr>
          <w:sz w:val="20"/>
          <w:szCs w:val="20"/>
        </w:rPr>
        <w:t xml:space="preserve"> neurological complications of coronavirus disease COVID 19 encephalopathy, MRI brain and cerebrospinal fluid findings: case 2. </w:t>
      </w:r>
      <w:proofErr w:type="spellStart"/>
      <w:r w:rsidRPr="004A62CA">
        <w:rPr>
          <w:sz w:val="20"/>
          <w:szCs w:val="20"/>
        </w:rPr>
        <w:t>Cureus</w:t>
      </w:r>
      <w:proofErr w:type="spellEnd"/>
      <w:r>
        <w:rPr>
          <w:sz w:val="20"/>
          <w:szCs w:val="20"/>
        </w:rPr>
        <w:t xml:space="preserve"> </w:t>
      </w:r>
      <w:r w:rsidRPr="004A62CA">
        <w:rPr>
          <w:sz w:val="20"/>
          <w:szCs w:val="20"/>
        </w:rPr>
        <w:t>12: e7930.</w:t>
      </w:r>
    </w:p>
    <w:p w14:paraId="4B30E0BE" w14:textId="77777777" w:rsidR="004A62CA" w:rsidRPr="004A62CA" w:rsidRDefault="004A62CA" w:rsidP="004A62CA">
      <w:pPr>
        <w:spacing w:line="360" w:lineRule="auto"/>
        <w:jc w:val="both"/>
        <w:rPr>
          <w:sz w:val="20"/>
          <w:szCs w:val="20"/>
        </w:rPr>
      </w:pPr>
    </w:p>
    <w:p w14:paraId="2D2AB82F" w14:textId="28BB1E99" w:rsidR="004A62CA" w:rsidRPr="004A62CA" w:rsidRDefault="004A62CA" w:rsidP="004A62CA">
      <w:pPr>
        <w:spacing w:line="360" w:lineRule="auto"/>
        <w:jc w:val="both"/>
        <w:rPr>
          <w:sz w:val="20"/>
          <w:szCs w:val="20"/>
        </w:rPr>
      </w:pPr>
      <w:r>
        <w:rPr>
          <w:sz w:val="20"/>
          <w:szCs w:val="20"/>
        </w:rPr>
        <w:t xml:space="preserve">8. </w:t>
      </w:r>
      <w:proofErr w:type="spellStart"/>
      <w:r w:rsidRPr="004A62CA">
        <w:rPr>
          <w:sz w:val="20"/>
          <w:szCs w:val="20"/>
        </w:rPr>
        <w:t>Sivadon</w:t>
      </w:r>
      <w:proofErr w:type="spellEnd"/>
      <w:r w:rsidRPr="004A62CA">
        <w:rPr>
          <w:sz w:val="20"/>
          <w:szCs w:val="20"/>
        </w:rPr>
        <w:t xml:space="preserve">-Tardy V, </w:t>
      </w:r>
      <w:proofErr w:type="spellStart"/>
      <w:r w:rsidRPr="004A62CA">
        <w:rPr>
          <w:sz w:val="20"/>
          <w:szCs w:val="20"/>
        </w:rPr>
        <w:t>Orlikowski</w:t>
      </w:r>
      <w:proofErr w:type="spellEnd"/>
      <w:r w:rsidRPr="004A62CA">
        <w:rPr>
          <w:sz w:val="20"/>
          <w:szCs w:val="20"/>
        </w:rPr>
        <w:t xml:space="preserve"> D, </w:t>
      </w:r>
      <w:proofErr w:type="spellStart"/>
      <w:r w:rsidRPr="004A62CA">
        <w:rPr>
          <w:sz w:val="20"/>
          <w:szCs w:val="20"/>
        </w:rPr>
        <w:t>Porcher</w:t>
      </w:r>
      <w:proofErr w:type="spellEnd"/>
      <w:r w:rsidRPr="004A62CA">
        <w:rPr>
          <w:sz w:val="20"/>
          <w:szCs w:val="20"/>
        </w:rPr>
        <w:t xml:space="preserve"> R, </w:t>
      </w:r>
      <w:proofErr w:type="spellStart"/>
      <w:r w:rsidRPr="004A62CA">
        <w:rPr>
          <w:sz w:val="20"/>
          <w:szCs w:val="20"/>
        </w:rPr>
        <w:t>Sharshar</w:t>
      </w:r>
      <w:proofErr w:type="spellEnd"/>
      <w:r w:rsidRPr="004A62CA">
        <w:rPr>
          <w:sz w:val="20"/>
          <w:szCs w:val="20"/>
        </w:rPr>
        <w:t xml:space="preserve"> T, Durand MC, </w:t>
      </w:r>
      <w:r>
        <w:rPr>
          <w:sz w:val="20"/>
          <w:szCs w:val="20"/>
        </w:rPr>
        <w:t>et al. (2009)</w:t>
      </w:r>
      <w:r w:rsidRPr="004A62CA">
        <w:rPr>
          <w:sz w:val="20"/>
          <w:szCs w:val="20"/>
        </w:rPr>
        <w:t xml:space="preserve"> </w:t>
      </w:r>
      <w:proofErr w:type="spellStart"/>
      <w:r w:rsidRPr="004A62CA">
        <w:rPr>
          <w:sz w:val="20"/>
          <w:szCs w:val="20"/>
        </w:rPr>
        <w:t>Guillain-Barrésyndrome</w:t>
      </w:r>
      <w:proofErr w:type="spellEnd"/>
      <w:r w:rsidRPr="004A62CA">
        <w:rPr>
          <w:sz w:val="20"/>
          <w:szCs w:val="20"/>
        </w:rPr>
        <w:t xml:space="preserve"> and influenza virus infection. AU Clin Infect Dis</w:t>
      </w:r>
      <w:r>
        <w:rPr>
          <w:sz w:val="20"/>
          <w:szCs w:val="20"/>
        </w:rPr>
        <w:t xml:space="preserve"> </w:t>
      </w:r>
      <w:r w:rsidRPr="004A62CA">
        <w:rPr>
          <w:sz w:val="20"/>
          <w:szCs w:val="20"/>
        </w:rPr>
        <w:t>48:</w:t>
      </w:r>
      <w:r>
        <w:rPr>
          <w:sz w:val="20"/>
          <w:szCs w:val="20"/>
        </w:rPr>
        <w:t xml:space="preserve"> </w:t>
      </w:r>
      <w:r w:rsidRPr="004A62CA">
        <w:rPr>
          <w:sz w:val="20"/>
          <w:szCs w:val="20"/>
        </w:rPr>
        <w:t>48.</w:t>
      </w:r>
    </w:p>
    <w:p w14:paraId="5AE8B0C6" w14:textId="77777777" w:rsidR="004A62CA" w:rsidRPr="004A62CA" w:rsidRDefault="004A62CA" w:rsidP="004A62CA">
      <w:pPr>
        <w:spacing w:line="360" w:lineRule="auto"/>
        <w:jc w:val="both"/>
        <w:rPr>
          <w:sz w:val="20"/>
          <w:szCs w:val="20"/>
        </w:rPr>
      </w:pPr>
      <w:r w:rsidRPr="004A62CA">
        <w:rPr>
          <w:sz w:val="20"/>
          <w:szCs w:val="20"/>
        </w:rPr>
        <w:t xml:space="preserve"> </w:t>
      </w:r>
    </w:p>
    <w:p w14:paraId="2BD283A2" w14:textId="41BDD907" w:rsidR="004A62CA" w:rsidRPr="004A62CA" w:rsidRDefault="004A62CA" w:rsidP="004A62CA">
      <w:pPr>
        <w:spacing w:line="360" w:lineRule="auto"/>
        <w:jc w:val="both"/>
        <w:rPr>
          <w:sz w:val="20"/>
          <w:szCs w:val="20"/>
        </w:rPr>
      </w:pPr>
      <w:r>
        <w:rPr>
          <w:sz w:val="20"/>
          <w:szCs w:val="20"/>
        </w:rPr>
        <w:t xml:space="preserve">9. </w:t>
      </w:r>
      <w:proofErr w:type="spellStart"/>
      <w:r w:rsidRPr="004A62CA">
        <w:rPr>
          <w:sz w:val="20"/>
          <w:szCs w:val="20"/>
        </w:rPr>
        <w:t>Brannagan</w:t>
      </w:r>
      <w:proofErr w:type="spellEnd"/>
      <w:r w:rsidRPr="004A62CA">
        <w:rPr>
          <w:sz w:val="20"/>
          <w:szCs w:val="20"/>
        </w:rPr>
        <w:t xml:space="preserve"> TH 3rd, Zhou Y HIV-associated </w:t>
      </w:r>
      <w:proofErr w:type="spellStart"/>
      <w:r w:rsidRPr="004A62CA">
        <w:rPr>
          <w:sz w:val="20"/>
          <w:szCs w:val="20"/>
        </w:rPr>
        <w:t>Guillain-Barrésyndrome</w:t>
      </w:r>
      <w:proofErr w:type="spellEnd"/>
      <w:r w:rsidRPr="004A62CA">
        <w:rPr>
          <w:sz w:val="20"/>
          <w:szCs w:val="20"/>
        </w:rPr>
        <w:t>. AU J Neurol Sci</w:t>
      </w:r>
      <w:r>
        <w:rPr>
          <w:sz w:val="20"/>
          <w:szCs w:val="20"/>
        </w:rPr>
        <w:t xml:space="preserve"> </w:t>
      </w:r>
      <w:r w:rsidRPr="004A62CA">
        <w:rPr>
          <w:sz w:val="20"/>
          <w:szCs w:val="20"/>
        </w:rPr>
        <w:t>208:</w:t>
      </w:r>
      <w:r>
        <w:rPr>
          <w:sz w:val="20"/>
          <w:szCs w:val="20"/>
        </w:rPr>
        <w:t xml:space="preserve"> </w:t>
      </w:r>
      <w:r w:rsidRPr="004A62CA">
        <w:rPr>
          <w:sz w:val="20"/>
          <w:szCs w:val="20"/>
        </w:rPr>
        <w:t>39.</w:t>
      </w:r>
    </w:p>
    <w:p w14:paraId="4610A050" w14:textId="77777777" w:rsidR="004A62CA" w:rsidRPr="004A62CA" w:rsidRDefault="004A62CA" w:rsidP="004A62CA">
      <w:pPr>
        <w:spacing w:line="360" w:lineRule="auto"/>
        <w:jc w:val="both"/>
        <w:rPr>
          <w:sz w:val="20"/>
          <w:szCs w:val="20"/>
        </w:rPr>
      </w:pPr>
    </w:p>
    <w:p w14:paraId="06E2FB53" w14:textId="5B175FD4" w:rsidR="004A62CA" w:rsidRPr="004A62CA" w:rsidRDefault="004A62CA" w:rsidP="004A62CA">
      <w:pPr>
        <w:spacing w:line="360" w:lineRule="auto"/>
        <w:jc w:val="both"/>
        <w:rPr>
          <w:sz w:val="20"/>
          <w:szCs w:val="20"/>
        </w:rPr>
      </w:pPr>
      <w:r>
        <w:rPr>
          <w:sz w:val="20"/>
          <w:szCs w:val="20"/>
        </w:rPr>
        <w:t xml:space="preserve">10. </w:t>
      </w:r>
      <w:r w:rsidRPr="004A62CA">
        <w:rPr>
          <w:sz w:val="20"/>
          <w:szCs w:val="20"/>
        </w:rPr>
        <w:t xml:space="preserve">Parra B, </w:t>
      </w:r>
      <w:proofErr w:type="spellStart"/>
      <w:r w:rsidRPr="004A62CA">
        <w:rPr>
          <w:sz w:val="20"/>
          <w:szCs w:val="20"/>
        </w:rPr>
        <w:t>Lizarazo</w:t>
      </w:r>
      <w:proofErr w:type="spellEnd"/>
      <w:r w:rsidRPr="004A62CA">
        <w:rPr>
          <w:sz w:val="20"/>
          <w:szCs w:val="20"/>
        </w:rPr>
        <w:t xml:space="preserve"> J, Jiménez-</w:t>
      </w:r>
      <w:proofErr w:type="spellStart"/>
      <w:r w:rsidRPr="004A62CA">
        <w:rPr>
          <w:sz w:val="20"/>
          <w:szCs w:val="20"/>
        </w:rPr>
        <w:t>Arango</w:t>
      </w:r>
      <w:proofErr w:type="spellEnd"/>
      <w:r w:rsidRPr="004A62CA">
        <w:rPr>
          <w:sz w:val="20"/>
          <w:szCs w:val="20"/>
        </w:rPr>
        <w:t xml:space="preserve"> JA, </w:t>
      </w:r>
      <w:proofErr w:type="spellStart"/>
      <w:r w:rsidRPr="004A62CA">
        <w:rPr>
          <w:sz w:val="20"/>
          <w:szCs w:val="20"/>
        </w:rPr>
        <w:t>Zea</w:t>
      </w:r>
      <w:proofErr w:type="spellEnd"/>
      <w:r w:rsidRPr="004A62CA">
        <w:rPr>
          <w:sz w:val="20"/>
          <w:szCs w:val="20"/>
        </w:rPr>
        <w:t>-Vera AF, González-</w:t>
      </w:r>
      <w:proofErr w:type="spellStart"/>
      <w:r w:rsidRPr="004A62CA">
        <w:rPr>
          <w:sz w:val="20"/>
          <w:szCs w:val="20"/>
        </w:rPr>
        <w:t>Manrique</w:t>
      </w:r>
      <w:proofErr w:type="spellEnd"/>
      <w:r w:rsidRPr="004A62CA">
        <w:rPr>
          <w:sz w:val="20"/>
          <w:szCs w:val="20"/>
        </w:rPr>
        <w:t xml:space="preserve"> G, </w:t>
      </w:r>
      <w:r>
        <w:rPr>
          <w:sz w:val="20"/>
          <w:szCs w:val="20"/>
        </w:rPr>
        <w:t>et al. (2016)</w:t>
      </w:r>
      <w:r w:rsidRPr="004A62CA">
        <w:rPr>
          <w:sz w:val="20"/>
          <w:szCs w:val="20"/>
        </w:rPr>
        <w:t xml:space="preserve"> </w:t>
      </w:r>
      <w:proofErr w:type="spellStart"/>
      <w:r w:rsidRPr="004A62CA">
        <w:rPr>
          <w:sz w:val="20"/>
          <w:szCs w:val="20"/>
        </w:rPr>
        <w:t>Guillain-BarréSyndrome</w:t>
      </w:r>
      <w:proofErr w:type="spellEnd"/>
      <w:r w:rsidRPr="004A62CA">
        <w:rPr>
          <w:sz w:val="20"/>
          <w:szCs w:val="20"/>
        </w:rPr>
        <w:t xml:space="preserve"> Associated with </w:t>
      </w:r>
      <w:proofErr w:type="spellStart"/>
      <w:r w:rsidRPr="004A62CA">
        <w:rPr>
          <w:sz w:val="20"/>
          <w:szCs w:val="20"/>
        </w:rPr>
        <w:t>Zika</w:t>
      </w:r>
      <w:proofErr w:type="spellEnd"/>
      <w:r w:rsidRPr="004A62CA">
        <w:rPr>
          <w:sz w:val="20"/>
          <w:szCs w:val="20"/>
        </w:rPr>
        <w:t xml:space="preserve"> Virus Infection in Colombia. AU N </w:t>
      </w:r>
      <w:proofErr w:type="spellStart"/>
      <w:r w:rsidRPr="004A62CA">
        <w:rPr>
          <w:sz w:val="20"/>
          <w:szCs w:val="20"/>
        </w:rPr>
        <w:t>Engl</w:t>
      </w:r>
      <w:proofErr w:type="spellEnd"/>
      <w:r w:rsidRPr="004A62CA">
        <w:rPr>
          <w:sz w:val="20"/>
          <w:szCs w:val="20"/>
        </w:rPr>
        <w:t xml:space="preserve"> J Med 375:</w:t>
      </w:r>
      <w:r w:rsidR="0090671D">
        <w:rPr>
          <w:sz w:val="20"/>
          <w:szCs w:val="20"/>
        </w:rPr>
        <w:t xml:space="preserve"> </w:t>
      </w:r>
      <w:r w:rsidRPr="004A62CA">
        <w:rPr>
          <w:sz w:val="20"/>
          <w:szCs w:val="20"/>
        </w:rPr>
        <w:t>1513.</w:t>
      </w:r>
    </w:p>
    <w:p w14:paraId="4CD065F6" w14:textId="77777777" w:rsidR="004A62CA" w:rsidRPr="004A62CA" w:rsidRDefault="004A62CA" w:rsidP="004A62CA">
      <w:pPr>
        <w:spacing w:line="360" w:lineRule="auto"/>
        <w:jc w:val="both"/>
        <w:rPr>
          <w:sz w:val="20"/>
          <w:szCs w:val="20"/>
        </w:rPr>
      </w:pPr>
    </w:p>
    <w:p w14:paraId="71E45ACB" w14:textId="770ADFDE" w:rsidR="004A62CA" w:rsidRPr="004A62CA" w:rsidRDefault="0090671D" w:rsidP="004A62CA">
      <w:pPr>
        <w:spacing w:line="360" w:lineRule="auto"/>
        <w:jc w:val="both"/>
        <w:rPr>
          <w:sz w:val="20"/>
          <w:szCs w:val="20"/>
        </w:rPr>
      </w:pPr>
      <w:r>
        <w:rPr>
          <w:sz w:val="20"/>
          <w:szCs w:val="20"/>
        </w:rPr>
        <w:t xml:space="preserve">11. </w:t>
      </w:r>
      <w:r w:rsidR="004A62CA" w:rsidRPr="004A62CA">
        <w:rPr>
          <w:sz w:val="20"/>
          <w:szCs w:val="20"/>
        </w:rPr>
        <w:t>Cao-</w:t>
      </w:r>
      <w:proofErr w:type="spellStart"/>
      <w:r w:rsidR="004A62CA" w:rsidRPr="004A62CA">
        <w:rPr>
          <w:sz w:val="20"/>
          <w:szCs w:val="20"/>
        </w:rPr>
        <w:t>Lormeau</w:t>
      </w:r>
      <w:proofErr w:type="spellEnd"/>
      <w:r w:rsidR="004A62CA" w:rsidRPr="004A62CA">
        <w:rPr>
          <w:sz w:val="20"/>
          <w:szCs w:val="20"/>
        </w:rPr>
        <w:t xml:space="preserve"> VM, Blake A, Mons S, </w:t>
      </w:r>
      <w:proofErr w:type="spellStart"/>
      <w:r w:rsidR="004A62CA" w:rsidRPr="004A62CA">
        <w:rPr>
          <w:sz w:val="20"/>
          <w:szCs w:val="20"/>
        </w:rPr>
        <w:t>Lastère</w:t>
      </w:r>
      <w:proofErr w:type="spellEnd"/>
      <w:r w:rsidR="004A62CA" w:rsidRPr="004A62CA">
        <w:rPr>
          <w:sz w:val="20"/>
          <w:szCs w:val="20"/>
        </w:rPr>
        <w:t xml:space="preserve"> S, Roche C, </w:t>
      </w:r>
      <w:r>
        <w:rPr>
          <w:sz w:val="20"/>
          <w:szCs w:val="20"/>
        </w:rPr>
        <w:t>et al. (</w:t>
      </w:r>
      <w:r w:rsidR="00494520">
        <w:rPr>
          <w:sz w:val="20"/>
          <w:szCs w:val="20"/>
        </w:rPr>
        <w:t>2016</w:t>
      </w:r>
      <w:r>
        <w:rPr>
          <w:sz w:val="20"/>
          <w:szCs w:val="20"/>
        </w:rPr>
        <w:t>)</w:t>
      </w:r>
      <w:r w:rsidR="004A62CA" w:rsidRPr="004A62CA">
        <w:rPr>
          <w:sz w:val="20"/>
          <w:szCs w:val="20"/>
        </w:rPr>
        <w:t xml:space="preserve"> </w:t>
      </w:r>
      <w:proofErr w:type="spellStart"/>
      <w:r w:rsidR="004A62CA" w:rsidRPr="004A62CA">
        <w:rPr>
          <w:sz w:val="20"/>
          <w:szCs w:val="20"/>
        </w:rPr>
        <w:t>Guillain-BarréSyndrome</w:t>
      </w:r>
      <w:proofErr w:type="spellEnd"/>
      <w:r w:rsidR="004A62CA" w:rsidRPr="004A62CA">
        <w:rPr>
          <w:sz w:val="20"/>
          <w:szCs w:val="20"/>
        </w:rPr>
        <w:t xml:space="preserve"> outbreak associated with Zika virus infection in French Polynesia: a case-control study. AU Lancet. 387:</w:t>
      </w:r>
      <w:r w:rsidR="00494520">
        <w:rPr>
          <w:sz w:val="20"/>
          <w:szCs w:val="20"/>
        </w:rPr>
        <w:t xml:space="preserve"> </w:t>
      </w:r>
      <w:r w:rsidR="004A62CA" w:rsidRPr="004A62CA">
        <w:rPr>
          <w:sz w:val="20"/>
          <w:szCs w:val="20"/>
        </w:rPr>
        <w:t>1531.</w:t>
      </w:r>
    </w:p>
    <w:p w14:paraId="607C0213" w14:textId="77777777" w:rsidR="004A62CA" w:rsidRPr="004A62CA" w:rsidRDefault="004A62CA" w:rsidP="004A62CA">
      <w:pPr>
        <w:spacing w:line="360" w:lineRule="auto"/>
        <w:jc w:val="both"/>
        <w:rPr>
          <w:sz w:val="20"/>
          <w:szCs w:val="20"/>
        </w:rPr>
      </w:pPr>
    </w:p>
    <w:p w14:paraId="10687523" w14:textId="2EAB2449" w:rsidR="004A62CA" w:rsidRPr="004A62CA" w:rsidRDefault="00494520" w:rsidP="004A62CA">
      <w:pPr>
        <w:spacing w:line="360" w:lineRule="auto"/>
        <w:jc w:val="both"/>
        <w:rPr>
          <w:sz w:val="20"/>
          <w:szCs w:val="20"/>
        </w:rPr>
      </w:pPr>
      <w:r>
        <w:rPr>
          <w:sz w:val="20"/>
          <w:szCs w:val="20"/>
        </w:rPr>
        <w:t xml:space="preserve">12. </w:t>
      </w:r>
      <w:proofErr w:type="spellStart"/>
      <w:r w:rsidR="004A62CA" w:rsidRPr="004A62CA">
        <w:rPr>
          <w:sz w:val="20"/>
          <w:szCs w:val="20"/>
        </w:rPr>
        <w:t>Rudant</w:t>
      </w:r>
      <w:proofErr w:type="spellEnd"/>
      <w:r w:rsidR="004A62CA" w:rsidRPr="004A62CA">
        <w:rPr>
          <w:sz w:val="20"/>
          <w:szCs w:val="20"/>
        </w:rPr>
        <w:t xml:space="preserve"> J, </w:t>
      </w:r>
      <w:proofErr w:type="spellStart"/>
      <w:r w:rsidR="004A62CA" w:rsidRPr="004A62CA">
        <w:rPr>
          <w:sz w:val="20"/>
          <w:szCs w:val="20"/>
        </w:rPr>
        <w:t>Dupont</w:t>
      </w:r>
      <w:proofErr w:type="spellEnd"/>
      <w:r w:rsidR="004A62CA" w:rsidRPr="004A62CA">
        <w:rPr>
          <w:sz w:val="20"/>
          <w:szCs w:val="20"/>
        </w:rPr>
        <w:t xml:space="preserve"> A, </w:t>
      </w:r>
      <w:proofErr w:type="spellStart"/>
      <w:r w:rsidR="004A62CA" w:rsidRPr="004A62CA">
        <w:rPr>
          <w:sz w:val="20"/>
          <w:szCs w:val="20"/>
        </w:rPr>
        <w:t>Mikaeloff</w:t>
      </w:r>
      <w:proofErr w:type="spellEnd"/>
      <w:r w:rsidR="004A62CA" w:rsidRPr="004A62CA">
        <w:rPr>
          <w:sz w:val="20"/>
          <w:szCs w:val="20"/>
        </w:rPr>
        <w:t xml:space="preserve"> Y, </w:t>
      </w:r>
      <w:proofErr w:type="spellStart"/>
      <w:r w:rsidR="004A62CA" w:rsidRPr="004A62CA">
        <w:rPr>
          <w:sz w:val="20"/>
          <w:szCs w:val="20"/>
        </w:rPr>
        <w:t>Bolgert</w:t>
      </w:r>
      <w:proofErr w:type="spellEnd"/>
      <w:r w:rsidR="004A62CA" w:rsidRPr="004A62CA">
        <w:rPr>
          <w:sz w:val="20"/>
          <w:szCs w:val="20"/>
        </w:rPr>
        <w:t xml:space="preserve"> F, </w:t>
      </w:r>
      <w:proofErr w:type="spellStart"/>
      <w:r w:rsidR="004A62CA" w:rsidRPr="004A62CA">
        <w:rPr>
          <w:sz w:val="20"/>
          <w:szCs w:val="20"/>
        </w:rPr>
        <w:t>Coste</w:t>
      </w:r>
      <w:proofErr w:type="spellEnd"/>
      <w:r w:rsidR="004A62CA" w:rsidRPr="004A62CA">
        <w:rPr>
          <w:sz w:val="20"/>
          <w:szCs w:val="20"/>
        </w:rPr>
        <w:t xml:space="preserve"> J, </w:t>
      </w:r>
      <w:r w:rsidR="000427BD">
        <w:rPr>
          <w:sz w:val="20"/>
          <w:szCs w:val="20"/>
        </w:rPr>
        <w:t>et al. (2018)</w:t>
      </w:r>
      <w:r w:rsidR="004A62CA" w:rsidRPr="004A62CA">
        <w:rPr>
          <w:sz w:val="20"/>
          <w:szCs w:val="20"/>
        </w:rPr>
        <w:t xml:space="preserve"> Surgery and risk of </w:t>
      </w:r>
      <w:proofErr w:type="spellStart"/>
      <w:r w:rsidR="004A62CA" w:rsidRPr="004A62CA">
        <w:rPr>
          <w:sz w:val="20"/>
          <w:szCs w:val="20"/>
        </w:rPr>
        <w:t>Guillain</w:t>
      </w:r>
      <w:proofErr w:type="spellEnd"/>
      <w:r w:rsidR="004A62CA" w:rsidRPr="004A62CA">
        <w:rPr>
          <w:sz w:val="20"/>
          <w:szCs w:val="20"/>
        </w:rPr>
        <w:t xml:space="preserve">- </w:t>
      </w:r>
      <w:proofErr w:type="spellStart"/>
      <w:r w:rsidR="004A62CA" w:rsidRPr="004A62CA">
        <w:rPr>
          <w:sz w:val="20"/>
          <w:szCs w:val="20"/>
        </w:rPr>
        <w:t>Barrésyndrome</w:t>
      </w:r>
      <w:proofErr w:type="spellEnd"/>
      <w:r w:rsidR="004A62CA" w:rsidRPr="004A62CA">
        <w:rPr>
          <w:sz w:val="20"/>
          <w:szCs w:val="20"/>
        </w:rPr>
        <w:t>: A French nationwide epidemiologic study. AU Neurology</w:t>
      </w:r>
      <w:r w:rsidR="000427BD">
        <w:rPr>
          <w:sz w:val="20"/>
          <w:szCs w:val="20"/>
        </w:rPr>
        <w:t xml:space="preserve"> </w:t>
      </w:r>
      <w:r w:rsidR="004A62CA" w:rsidRPr="004A62CA">
        <w:rPr>
          <w:sz w:val="20"/>
          <w:szCs w:val="20"/>
        </w:rPr>
        <w:t>91:</w:t>
      </w:r>
      <w:r w:rsidR="000427BD">
        <w:rPr>
          <w:sz w:val="20"/>
          <w:szCs w:val="20"/>
        </w:rPr>
        <w:t xml:space="preserve"> </w:t>
      </w:r>
      <w:r w:rsidR="004A62CA" w:rsidRPr="004A62CA">
        <w:rPr>
          <w:sz w:val="20"/>
          <w:szCs w:val="20"/>
        </w:rPr>
        <w:t>e1220.</w:t>
      </w:r>
    </w:p>
    <w:p w14:paraId="12627837" w14:textId="77777777" w:rsidR="004A62CA" w:rsidRPr="004A62CA" w:rsidRDefault="004A62CA" w:rsidP="004A62CA">
      <w:pPr>
        <w:spacing w:line="360" w:lineRule="auto"/>
        <w:jc w:val="both"/>
        <w:rPr>
          <w:sz w:val="20"/>
          <w:szCs w:val="20"/>
        </w:rPr>
      </w:pPr>
    </w:p>
    <w:p w14:paraId="66AA87CE" w14:textId="3F84D5CB" w:rsidR="004A62CA" w:rsidRPr="004A62CA" w:rsidRDefault="000427BD" w:rsidP="004A62CA">
      <w:pPr>
        <w:spacing w:line="360" w:lineRule="auto"/>
        <w:jc w:val="both"/>
        <w:rPr>
          <w:sz w:val="20"/>
          <w:szCs w:val="20"/>
        </w:rPr>
      </w:pPr>
      <w:r>
        <w:rPr>
          <w:sz w:val="20"/>
          <w:szCs w:val="20"/>
        </w:rPr>
        <w:t xml:space="preserve">13. </w:t>
      </w:r>
      <w:r w:rsidR="004A62CA" w:rsidRPr="004A62CA">
        <w:rPr>
          <w:sz w:val="20"/>
          <w:szCs w:val="20"/>
        </w:rPr>
        <w:t xml:space="preserve">Menveo (meningococcal groups A, C, Y, and W-135 oligosaccharide diphtheria CRM197 conjugate vaccine). US Food and Drug Administration (FDA) approved product information. Revised December, 2019. US National Library of Medicine. </w:t>
      </w:r>
    </w:p>
    <w:p w14:paraId="3728E206" w14:textId="77777777" w:rsidR="004A62CA" w:rsidRPr="004A62CA" w:rsidRDefault="004A62CA" w:rsidP="004A62CA">
      <w:pPr>
        <w:spacing w:line="360" w:lineRule="auto"/>
        <w:jc w:val="both"/>
        <w:rPr>
          <w:sz w:val="20"/>
          <w:szCs w:val="20"/>
        </w:rPr>
      </w:pPr>
    </w:p>
    <w:p w14:paraId="3673C125" w14:textId="3A711FB3" w:rsidR="004A62CA" w:rsidRPr="004A62CA" w:rsidRDefault="000427BD" w:rsidP="004A62CA">
      <w:pPr>
        <w:spacing w:line="360" w:lineRule="auto"/>
        <w:jc w:val="both"/>
        <w:rPr>
          <w:sz w:val="20"/>
          <w:szCs w:val="20"/>
        </w:rPr>
      </w:pPr>
      <w:r>
        <w:rPr>
          <w:sz w:val="20"/>
          <w:szCs w:val="20"/>
        </w:rPr>
        <w:t xml:space="preserve">14. </w:t>
      </w:r>
      <w:proofErr w:type="spellStart"/>
      <w:r w:rsidR="004A62CA" w:rsidRPr="004A62CA">
        <w:rPr>
          <w:sz w:val="20"/>
          <w:szCs w:val="20"/>
        </w:rPr>
        <w:t>MenQuadfi</w:t>
      </w:r>
      <w:proofErr w:type="spellEnd"/>
      <w:r>
        <w:rPr>
          <w:sz w:val="20"/>
          <w:szCs w:val="20"/>
        </w:rPr>
        <w:t xml:space="preserve"> (2020)</w:t>
      </w:r>
      <w:r w:rsidR="004A62CA" w:rsidRPr="004A62CA">
        <w:rPr>
          <w:sz w:val="20"/>
          <w:szCs w:val="20"/>
        </w:rPr>
        <w:t xml:space="preserve"> US Food and Drug Administration (FDA) approved product information. October, 2020. US National Library of Medicine. </w:t>
      </w:r>
    </w:p>
    <w:p w14:paraId="11C56E6D" w14:textId="77777777" w:rsidR="004A62CA" w:rsidRPr="004A62CA" w:rsidRDefault="004A62CA" w:rsidP="004A62CA">
      <w:pPr>
        <w:spacing w:line="360" w:lineRule="auto"/>
        <w:jc w:val="both"/>
        <w:rPr>
          <w:sz w:val="20"/>
          <w:szCs w:val="20"/>
        </w:rPr>
      </w:pPr>
    </w:p>
    <w:p w14:paraId="5E2A1819" w14:textId="1938C061" w:rsidR="004A62CA" w:rsidRPr="004A62CA" w:rsidRDefault="000427BD" w:rsidP="004A62CA">
      <w:pPr>
        <w:spacing w:line="360" w:lineRule="auto"/>
        <w:jc w:val="both"/>
        <w:rPr>
          <w:sz w:val="20"/>
          <w:szCs w:val="20"/>
        </w:rPr>
      </w:pPr>
      <w:r>
        <w:rPr>
          <w:sz w:val="20"/>
          <w:szCs w:val="20"/>
        </w:rPr>
        <w:t xml:space="preserve">15. </w:t>
      </w:r>
      <w:proofErr w:type="spellStart"/>
      <w:r w:rsidR="004A62CA" w:rsidRPr="004A62CA">
        <w:rPr>
          <w:sz w:val="20"/>
          <w:szCs w:val="20"/>
        </w:rPr>
        <w:t>Menactra</w:t>
      </w:r>
      <w:proofErr w:type="spellEnd"/>
      <w:r>
        <w:rPr>
          <w:sz w:val="20"/>
          <w:szCs w:val="20"/>
        </w:rPr>
        <w:t xml:space="preserve"> (2018)</w:t>
      </w:r>
      <w:r w:rsidR="004A62CA" w:rsidRPr="004A62CA">
        <w:rPr>
          <w:sz w:val="20"/>
          <w:szCs w:val="20"/>
        </w:rPr>
        <w:t xml:space="preserve"> US Food and Drug Administration (FDA) approved product information. Revised April, 2018. US National Library of Medicine.</w:t>
      </w:r>
    </w:p>
    <w:p w14:paraId="0FEB6262" w14:textId="77777777" w:rsidR="004A62CA" w:rsidRPr="004A62CA" w:rsidRDefault="004A62CA" w:rsidP="004A62CA">
      <w:pPr>
        <w:spacing w:line="360" w:lineRule="auto"/>
        <w:jc w:val="both"/>
        <w:rPr>
          <w:sz w:val="20"/>
          <w:szCs w:val="20"/>
        </w:rPr>
      </w:pPr>
    </w:p>
    <w:p w14:paraId="542A0146" w14:textId="4510E282" w:rsidR="004A62CA" w:rsidRPr="004A62CA" w:rsidRDefault="000427BD" w:rsidP="004A62CA">
      <w:pPr>
        <w:spacing w:line="360" w:lineRule="auto"/>
        <w:jc w:val="both"/>
        <w:rPr>
          <w:sz w:val="20"/>
          <w:szCs w:val="20"/>
        </w:rPr>
      </w:pPr>
      <w:r>
        <w:rPr>
          <w:sz w:val="20"/>
          <w:szCs w:val="20"/>
        </w:rPr>
        <w:t xml:space="preserve">16. </w:t>
      </w:r>
      <w:r w:rsidR="004A62CA" w:rsidRPr="004A62CA">
        <w:rPr>
          <w:sz w:val="20"/>
          <w:szCs w:val="20"/>
        </w:rPr>
        <w:t xml:space="preserve">Stowe J, Andrews N, Wise L, Miller E </w:t>
      </w:r>
      <w:r>
        <w:rPr>
          <w:sz w:val="20"/>
          <w:szCs w:val="20"/>
        </w:rPr>
        <w:t xml:space="preserve">(2008) </w:t>
      </w:r>
      <w:r w:rsidR="004A62CA" w:rsidRPr="004A62CA">
        <w:rPr>
          <w:sz w:val="20"/>
          <w:szCs w:val="20"/>
        </w:rPr>
        <w:t xml:space="preserve">Investigation of the temporal association of Guillain-Barre syndrome with influenza vaccine and </w:t>
      </w:r>
      <w:proofErr w:type="spellStart"/>
      <w:r w:rsidR="004A62CA" w:rsidRPr="004A62CA">
        <w:rPr>
          <w:sz w:val="20"/>
          <w:szCs w:val="20"/>
        </w:rPr>
        <w:t>influenzalike</w:t>
      </w:r>
      <w:proofErr w:type="spellEnd"/>
      <w:r w:rsidR="004A62CA" w:rsidRPr="004A62CA">
        <w:rPr>
          <w:sz w:val="20"/>
          <w:szCs w:val="20"/>
        </w:rPr>
        <w:t xml:space="preserve"> illness using the United Kingdom General Practice Research Database. AU Am J Epidemiol. 169:</w:t>
      </w:r>
      <w:r>
        <w:rPr>
          <w:sz w:val="20"/>
          <w:szCs w:val="20"/>
        </w:rPr>
        <w:t xml:space="preserve"> </w:t>
      </w:r>
      <w:r w:rsidR="004A62CA" w:rsidRPr="004A62CA">
        <w:rPr>
          <w:sz w:val="20"/>
          <w:szCs w:val="20"/>
        </w:rPr>
        <w:t>382.</w:t>
      </w:r>
    </w:p>
    <w:p w14:paraId="6A7FB2B1" w14:textId="77777777" w:rsidR="004A62CA" w:rsidRPr="004A62CA" w:rsidRDefault="004A62CA" w:rsidP="004A62CA">
      <w:pPr>
        <w:spacing w:line="360" w:lineRule="auto"/>
        <w:jc w:val="both"/>
        <w:rPr>
          <w:sz w:val="20"/>
          <w:szCs w:val="20"/>
        </w:rPr>
      </w:pPr>
    </w:p>
    <w:p w14:paraId="3FF72F74" w14:textId="060FAE0E" w:rsidR="004A62CA" w:rsidRPr="004A62CA" w:rsidRDefault="000427BD" w:rsidP="004A62CA">
      <w:pPr>
        <w:spacing w:line="360" w:lineRule="auto"/>
        <w:jc w:val="both"/>
        <w:rPr>
          <w:sz w:val="20"/>
          <w:szCs w:val="20"/>
        </w:rPr>
      </w:pPr>
      <w:r>
        <w:rPr>
          <w:sz w:val="20"/>
          <w:szCs w:val="20"/>
        </w:rPr>
        <w:t xml:space="preserve">17. </w:t>
      </w:r>
      <w:r w:rsidR="004A62CA" w:rsidRPr="004A62CA">
        <w:rPr>
          <w:sz w:val="20"/>
          <w:szCs w:val="20"/>
        </w:rPr>
        <w:t xml:space="preserve">Tam CC, O'Brien SJ, Petersen I, Islam A, Hayward A, Rodrigues LC </w:t>
      </w:r>
      <w:proofErr w:type="spellStart"/>
      <w:r w:rsidR="004A62CA" w:rsidRPr="004A62CA">
        <w:rPr>
          <w:sz w:val="20"/>
          <w:szCs w:val="20"/>
        </w:rPr>
        <w:t>Guillain-Barrésyndrome</w:t>
      </w:r>
      <w:proofErr w:type="spellEnd"/>
      <w:r w:rsidR="004A62CA" w:rsidRPr="004A62CA">
        <w:rPr>
          <w:sz w:val="20"/>
          <w:szCs w:val="20"/>
        </w:rPr>
        <w:t xml:space="preserve"> and preceding infection with campylobacter, influenza and Epstein-Barr virus in the general practice research database. AU </w:t>
      </w:r>
      <w:proofErr w:type="spellStart"/>
      <w:r w:rsidR="004A62CA" w:rsidRPr="004A62CA">
        <w:rPr>
          <w:sz w:val="20"/>
          <w:szCs w:val="20"/>
        </w:rPr>
        <w:t>PLoS</w:t>
      </w:r>
      <w:proofErr w:type="spellEnd"/>
      <w:r w:rsidR="004A62CA" w:rsidRPr="004A62CA">
        <w:rPr>
          <w:sz w:val="20"/>
          <w:szCs w:val="20"/>
        </w:rPr>
        <w:t xml:space="preserve"> One</w:t>
      </w:r>
      <w:r>
        <w:rPr>
          <w:sz w:val="20"/>
          <w:szCs w:val="20"/>
        </w:rPr>
        <w:t xml:space="preserve"> </w:t>
      </w:r>
      <w:r w:rsidR="004A62CA" w:rsidRPr="004A62CA">
        <w:rPr>
          <w:sz w:val="20"/>
          <w:szCs w:val="20"/>
        </w:rPr>
        <w:t>2:</w:t>
      </w:r>
      <w:r>
        <w:rPr>
          <w:sz w:val="20"/>
          <w:szCs w:val="20"/>
        </w:rPr>
        <w:t xml:space="preserve"> </w:t>
      </w:r>
      <w:r w:rsidR="004A62CA" w:rsidRPr="004A62CA">
        <w:rPr>
          <w:sz w:val="20"/>
          <w:szCs w:val="20"/>
        </w:rPr>
        <w:t>e344.</w:t>
      </w:r>
    </w:p>
    <w:p w14:paraId="08E45859" w14:textId="77777777" w:rsidR="004A62CA" w:rsidRPr="004A62CA" w:rsidRDefault="004A62CA" w:rsidP="004A62CA">
      <w:pPr>
        <w:spacing w:line="360" w:lineRule="auto"/>
        <w:jc w:val="both"/>
        <w:rPr>
          <w:sz w:val="20"/>
          <w:szCs w:val="20"/>
        </w:rPr>
      </w:pPr>
    </w:p>
    <w:p w14:paraId="3B1E14B1" w14:textId="77777777" w:rsidR="004A62CA" w:rsidRPr="004A62CA" w:rsidRDefault="004A62CA" w:rsidP="004A62CA">
      <w:pPr>
        <w:spacing w:line="360" w:lineRule="auto"/>
        <w:jc w:val="both"/>
        <w:rPr>
          <w:sz w:val="20"/>
          <w:szCs w:val="20"/>
        </w:rPr>
      </w:pPr>
    </w:p>
    <w:p w14:paraId="0C0C9349" w14:textId="1007D3DB" w:rsidR="004A62CA" w:rsidRPr="004A62CA" w:rsidRDefault="000427BD" w:rsidP="004A62CA">
      <w:pPr>
        <w:spacing w:line="360" w:lineRule="auto"/>
        <w:jc w:val="both"/>
        <w:rPr>
          <w:sz w:val="20"/>
          <w:szCs w:val="20"/>
        </w:rPr>
      </w:pPr>
      <w:r>
        <w:rPr>
          <w:sz w:val="20"/>
          <w:szCs w:val="20"/>
        </w:rPr>
        <w:t xml:space="preserve">18. </w:t>
      </w:r>
      <w:r w:rsidR="004A62CA" w:rsidRPr="004A62CA">
        <w:rPr>
          <w:sz w:val="20"/>
          <w:szCs w:val="20"/>
        </w:rPr>
        <w:t xml:space="preserve">Helms J, Kremer S, </w:t>
      </w:r>
      <w:proofErr w:type="spellStart"/>
      <w:r w:rsidR="004A62CA" w:rsidRPr="004A62CA">
        <w:rPr>
          <w:sz w:val="20"/>
          <w:szCs w:val="20"/>
        </w:rPr>
        <w:t>Merdji</w:t>
      </w:r>
      <w:proofErr w:type="spellEnd"/>
      <w:r w:rsidR="004A62CA" w:rsidRPr="004A62CA">
        <w:rPr>
          <w:sz w:val="20"/>
          <w:szCs w:val="20"/>
        </w:rPr>
        <w:t xml:space="preserve"> H, </w:t>
      </w:r>
      <w:proofErr w:type="spellStart"/>
      <w:r w:rsidR="004A62CA" w:rsidRPr="004A62CA">
        <w:rPr>
          <w:sz w:val="20"/>
          <w:szCs w:val="20"/>
        </w:rPr>
        <w:t>Clere-Jehl</w:t>
      </w:r>
      <w:proofErr w:type="spellEnd"/>
      <w:r w:rsidR="004A62CA" w:rsidRPr="004A62CA">
        <w:rPr>
          <w:sz w:val="20"/>
          <w:szCs w:val="20"/>
        </w:rPr>
        <w:t xml:space="preserve"> R, Schenck M, </w:t>
      </w:r>
      <w:r>
        <w:rPr>
          <w:sz w:val="20"/>
          <w:szCs w:val="20"/>
        </w:rPr>
        <w:t>et al. (2020)</w:t>
      </w:r>
      <w:r w:rsidR="004A62CA" w:rsidRPr="004A62CA">
        <w:rPr>
          <w:sz w:val="20"/>
          <w:szCs w:val="20"/>
        </w:rPr>
        <w:t xml:space="preserve"> Neurologic Features in Severe SARS-CoV-2 Infection N </w:t>
      </w:r>
      <w:proofErr w:type="spellStart"/>
      <w:r w:rsidR="004A62CA" w:rsidRPr="004A62CA">
        <w:rPr>
          <w:sz w:val="20"/>
          <w:szCs w:val="20"/>
        </w:rPr>
        <w:t>Engl</w:t>
      </w:r>
      <w:proofErr w:type="spellEnd"/>
      <w:r w:rsidR="004A62CA" w:rsidRPr="004A62CA">
        <w:rPr>
          <w:sz w:val="20"/>
          <w:szCs w:val="20"/>
        </w:rPr>
        <w:t xml:space="preserve"> J Med</w:t>
      </w:r>
      <w:r>
        <w:rPr>
          <w:sz w:val="20"/>
          <w:szCs w:val="20"/>
        </w:rPr>
        <w:t xml:space="preserve"> </w:t>
      </w:r>
      <w:r w:rsidR="004A62CA" w:rsidRPr="004A62CA">
        <w:rPr>
          <w:sz w:val="20"/>
          <w:szCs w:val="20"/>
        </w:rPr>
        <w:t>382:</w:t>
      </w:r>
      <w:r>
        <w:rPr>
          <w:sz w:val="20"/>
          <w:szCs w:val="20"/>
        </w:rPr>
        <w:t xml:space="preserve"> </w:t>
      </w:r>
      <w:r w:rsidR="004A62CA" w:rsidRPr="004A62CA">
        <w:rPr>
          <w:sz w:val="20"/>
          <w:szCs w:val="20"/>
        </w:rPr>
        <w:t>2268.</w:t>
      </w:r>
    </w:p>
    <w:p w14:paraId="597B07D9" w14:textId="77777777" w:rsidR="004A62CA" w:rsidRPr="004A62CA" w:rsidRDefault="004A62CA" w:rsidP="004A62CA">
      <w:pPr>
        <w:spacing w:line="360" w:lineRule="auto"/>
        <w:jc w:val="both"/>
        <w:rPr>
          <w:sz w:val="20"/>
          <w:szCs w:val="20"/>
        </w:rPr>
      </w:pPr>
    </w:p>
    <w:p w14:paraId="5FE8EFBD" w14:textId="25D0695A" w:rsidR="004A62CA" w:rsidRPr="004A62CA" w:rsidRDefault="000427BD" w:rsidP="004A62CA">
      <w:pPr>
        <w:spacing w:line="360" w:lineRule="auto"/>
        <w:jc w:val="both"/>
        <w:rPr>
          <w:sz w:val="20"/>
          <w:szCs w:val="20"/>
        </w:rPr>
      </w:pPr>
      <w:r>
        <w:rPr>
          <w:sz w:val="20"/>
          <w:szCs w:val="20"/>
        </w:rPr>
        <w:t xml:space="preserve">19. </w:t>
      </w:r>
      <w:proofErr w:type="spellStart"/>
      <w:r w:rsidR="004A62CA" w:rsidRPr="004A62CA">
        <w:rPr>
          <w:sz w:val="20"/>
          <w:szCs w:val="20"/>
        </w:rPr>
        <w:t>Filatov</w:t>
      </w:r>
      <w:proofErr w:type="spellEnd"/>
      <w:r w:rsidR="004A62CA" w:rsidRPr="004A62CA">
        <w:rPr>
          <w:sz w:val="20"/>
          <w:szCs w:val="20"/>
        </w:rPr>
        <w:t xml:space="preserve"> A, Sharma P, Hindi F, Espinosa PS</w:t>
      </w:r>
      <w:r>
        <w:rPr>
          <w:sz w:val="20"/>
          <w:szCs w:val="20"/>
        </w:rPr>
        <w:t xml:space="preserve"> (2020)</w:t>
      </w:r>
      <w:r w:rsidR="004A62CA" w:rsidRPr="004A62CA">
        <w:rPr>
          <w:sz w:val="20"/>
          <w:szCs w:val="20"/>
        </w:rPr>
        <w:t xml:space="preserve"> Neurological complications of Coronavirus disease (COVID 19): encephalopathy. </w:t>
      </w:r>
      <w:proofErr w:type="spellStart"/>
      <w:r w:rsidR="004A62CA" w:rsidRPr="004A62CA">
        <w:rPr>
          <w:sz w:val="20"/>
          <w:szCs w:val="20"/>
        </w:rPr>
        <w:t>Cureus</w:t>
      </w:r>
      <w:proofErr w:type="spellEnd"/>
      <w:r w:rsidR="004A62CA" w:rsidRPr="004A62CA">
        <w:rPr>
          <w:sz w:val="20"/>
          <w:szCs w:val="20"/>
        </w:rPr>
        <w:t xml:space="preserve"> 12</w:t>
      </w:r>
      <w:r>
        <w:rPr>
          <w:sz w:val="20"/>
          <w:szCs w:val="20"/>
        </w:rPr>
        <w:t xml:space="preserve">: </w:t>
      </w:r>
      <w:r w:rsidR="004A62CA" w:rsidRPr="004A62CA">
        <w:rPr>
          <w:sz w:val="20"/>
          <w:szCs w:val="20"/>
        </w:rPr>
        <w:t>e7352.</w:t>
      </w:r>
    </w:p>
    <w:p w14:paraId="064212AF" w14:textId="77777777" w:rsidR="004A62CA" w:rsidRPr="004A62CA" w:rsidRDefault="004A62CA" w:rsidP="004A62CA">
      <w:pPr>
        <w:spacing w:line="360" w:lineRule="auto"/>
        <w:jc w:val="both"/>
        <w:rPr>
          <w:sz w:val="20"/>
          <w:szCs w:val="20"/>
        </w:rPr>
      </w:pPr>
    </w:p>
    <w:p w14:paraId="2FD38211" w14:textId="402FF0B8" w:rsidR="004A62CA" w:rsidRPr="004A62CA" w:rsidRDefault="000427BD" w:rsidP="004A62CA">
      <w:pPr>
        <w:spacing w:line="360" w:lineRule="auto"/>
        <w:jc w:val="both"/>
        <w:rPr>
          <w:sz w:val="20"/>
          <w:szCs w:val="20"/>
        </w:rPr>
      </w:pPr>
      <w:r>
        <w:rPr>
          <w:sz w:val="20"/>
          <w:szCs w:val="20"/>
        </w:rPr>
        <w:t xml:space="preserve">20. </w:t>
      </w:r>
      <w:proofErr w:type="spellStart"/>
      <w:r w:rsidR="004A62CA" w:rsidRPr="004A62CA">
        <w:rPr>
          <w:sz w:val="20"/>
          <w:szCs w:val="20"/>
        </w:rPr>
        <w:t>Montalvan</w:t>
      </w:r>
      <w:proofErr w:type="spellEnd"/>
      <w:r w:rsidR="004A62CA" w:rsidRPr="004A62CA">
        <w:rPr>
          <w:sz w:val="20"/>
          <w:szCs w:val="20"/>
        </w:rPr>
        <w:t xml:space="preserve"> V, Lee J, </w:t>
      </w:r>
      <w:proofErr w:type="spellStart"/>
      <w:r w:rsidR="004A62CA" w:rsidRPr="004A62CA">
        <w:rPr>
          <w:sz w:val="20"/>
          <w:szCs w:val="20"/>
        </w:rPr>
        <w:t>Bueso</w:t>
      </w:r>
      <w:proofErr w:type="spellEnd"/>
      <w:r w:rsidR="004A62CA" w:rsidRPr="004A62CA">
        <w:rPr>
          <w:sz w:val="20"/>
          <w:szCs w:val="20"/>
        </w:rPr>
        <w:t xml:space="preserve"> T, De Toledo J</w:t>
      </w:r>
      <w:r w:rsidR="0065146C">
        <w:rPr>
          <w:sz w:val="20"/>
          <w:szCs w:val="20"/>
        </w:rPr>
        <w:t xml:space="preserve"> (2020) </w:t>
      </w:r>
      <w:r w:rsidR="004A62CA" w:rsidRPr="004A62CA">
        <w:rPr>
          <w:sz w:val="20"/>
          <w:szCs w:val="20"/>
        </w:rPr>
        <w:t xml:space="preserve">Neurological manifestations of COVID-19 and other coronavirus infections: A systematic </w:t>
      </w:r>
      <w:proofErr w:type="spellStart"/>
      <w:proofErr w:type="gramStart"/>
      <w:r w:rsidR="004A62CA" w:rsidRPr="004A62CA">
        <w:rPr>
          <w:sz w:val="20"/>
          <w:szCs w:val="20"/>
        </w:rPr>
        <w:t>review.Clin</w:t>
      </w:r>
      <w:proofErr w:type="spellEnd"/>
      <w:proofErr w:type="gramEnd"/>
      <w:r w:rsidR="004A62CA" w:rsidRPr="004A62CA">
        <w:rPr>
          <w:sz w:val="20"/>
          <w:szCs w:val="20"/>
        </w:rPr>
        <w:t xml:space="preserve"> </w:t>
      </w:r>
      <w:proofErr w:type="spellStart"/>
      <w:r w:rsidR="004A62CA" w:rsidRPr="004A62CA">
        <w:rPr>
          <w:sz w:val="20"/>
          <w:szCs w:val="20"/>
        </w:rPr>
        <w:t>Neurol</w:t>
      </w:r>
      <w:proofErr w:type="spellEnd"/>
      <w:r w:rsidR="004A62CA" w:rsidRPr="004A62CA">
        <w:rPr>
          <w:sz w:val="20"/>
          <w:szCs w:val="20"/>
        </w:rPr>
        <w:t xml:space="preserve"> </w:t>
      </w:r>
      <w:proofErr w:type="spellStart"/>
      <w:r w:rsidR="004A62CA" w:rsidRPr="004A62CA">
        <w:rPr>
          <w:sz w:val="20"/>
          <w:szCs w:val="20"/>
        </w:rPr>
        <w:t>Neurosurg</w:t>
      </w:r>
      <w:proofErr w:type="spellEnd"/>
      <w:r w:rsidR="0065146C">
        <w:rPr>
          <w:sz w:val="20"/>
          <w:szCs w:val="20"/>
        </w:rPr>
        <w:t xml:space="preserve"> </w:t>
      </w:r>
      <w:r w:rsidR="004A62CA" w:rsidRPr="004A62CA">
        <w:rPr>
          <w:sz w:val="20"/>
          <w:szCs w:val="20"/>
        </w:rPr>
        <w:t>194:</w:t>
      </w:r>
      <w:r w:rsidR="0065146C">
        <w:rPr>
          <w:sz w:val="20"/>
          <w:szCs w:val="20"/>
        </w:rPr>
        <w:t xml:space="preserve"> </w:t>
      </w:r>
      <w:r w:rsidR="004A62CA" w:rsidRPr="004A62CA">
        <w:rPr>
          <w:sz w:val="20"/>
          <w:szCs w:val="20"/>
        </w:rPr>
        <w:t>105921.</w:t>
      </w:r>
    </w:p>
    <w:p w14:paraId="60318C62" w14:textId="77777777" w:rsidR="004A62CA" w:rsidRPr="004A62CA" w:rsidRDefault="004A62CA" w:rsidP="004A62CA">
      <w:pPr>
        <w:spacing w:line="360" w:lineRule="auto"/>
        <w:jc w:val="both"/>
        <w:rPr>
          <w:sz w:val="20"/>
          <w:szCs w:val="20"/>
        </w:rPr>
      </w:pPr>
      <w:r w:rsidRPr="004A62CA">
        <w:rPr>
          <w:sz w:val="20"/>
          <w:szCs w:val="20"/>
        </w:rPr>
        <w:t xml:space="preserve"> </w:t>
      </w:r>
    </w:p>
    <w:p w14:paraId="67E36D02" w14:textId="2FE91D1F" w:rsidR="004A62CA" w:rsidRPr="004A62CA" w:rsidRDefault="0065146C" w:rsidP="004A62CA">
      <w:pPr>
        <w:spacing w:line="360" w:lineRule="auto"/>
        <w:jc w:val="both"/>
        <w:rPr>
          <w:sz w:val="20"/>
          <w:szCs w:val="20"/>
        </w:rPr>
      </w:pPr>
      <w:r>
        <w:rPr>
          <w:sz w:val="20"/>
          <w:szCs w:val="20"/>
        </w:rPr>
        <w:t xml:space="preserve">21. </w:t>
      </w:r>
      <w:r w:rsidR="004A62CA" w:rsidRPr="004A62CA">
        <w:rPr>
          <w:sz w:val="20"/>
          <w:szCs w:val="20"/>
        </w:rPr>
        <w:t xml:space="preserve">Liotta EM, Batra A, Clark JR, </w:t>
      </w:r>
      <w:proofErr w:type="spellStart"/>
      <w:r w:rsidR="004A62CA" w:rsidRPr="004A62CA">
        <w:rPr>
          <w:sz w:val="20"/>
          <w:szCs w:val="20"/>
        </w:rPr>
        <w:t>Shlobin</w:t>
      </w:r>
      <w:proofErr w:type="spellEnd"/>
      <w:r w:rsidR="004A62CA" w:rsidRPr="004A62CA">
        <w:rPr>
          <w:sz w:val="20"/>
          <w:szCs w:val="20"/>
        </w:rPr>
        <w:t xml:space="preserve"> NA, Hoffman SC, </w:t>
      </w:r>
      <w:r>
        <w:rPr>
          <w:sz w:val="20"/>
          <w:szCs w:val="20"/>
        </w:rPr>
        <w:t>et al. (2020)</w:t>
      </w:r>
      <w:r w:rsidR="004A62CA" w:rsidRPr="004A62CA">
        <w:rPr>
          <w:sz w:val="20"/>
          <w:szCs w:val="20"/>
        </w:rPr>
        <w:t xml:space="preserve"> Frequent neurologic manifestations and encephalopathy-associated morbidity in Covid-19 patients. Ann </w:t>
      </w:r>
      <w:proofErr w:type="spellStart"/>
      <w:r w:rsidR="004A62CA" w:rsidRPr="004A62CA">
        <w:rPr>
          <w:sz w:val="20"/>
          <w:szCs w:val="20"/>
        </w:rPr>
        <w:t>Clin</w:t>
      </w:r>
      <w:proofErr w:type="spellEnd"/>
      <w:r w:rsidR="004A62CA" w:rsidRPr="004A62CA">
        <w:rPr>
          <w:sz w:val="20"/>
          <w:szCs w:val="20"/>
        </w:rPr>
        <w:t xml:space="preserve"> </w:t>
      </w:r>
      <w:proofErr w:type="spellStart"/>
      <w:r w:rsidR="004A62CA" w:rsidRPr="004A62CA">
        <w:rPr>
          <w:sz w:val="20"/>
          <w:szCs w:val="20"/>
        </w:rPr>
        <w:t>Transl</w:t>
      </w:r>
      <w:proofErr w:type="spellEnd"/>
      <w:r w:rsidR="004A62CA" w:rsidRPr="004A62CA">
        <w:rPr>
          <w:sz w:val="20"/>
          <w:szCs w:val="20"/>
        </w:rPr>
        <w:t xml:space="preserve"> </w:t>
      </w:r>
      <w:proofErr w:type="spellStart"/>
      <w:r w:rsidR="004A62CA" w:rsidRPr="004A62CA">
        <w:rPr>
          <w:sz w:val="20"/>
          <w:szCs w:val="20"/>
        </w:rPr>
        <w:t>Neurol</w:t>
      </w:r>
      <w:proofErr w:type="spellEnd"/>
      <w:r>
        <w:rPr>
          <w:sz w:val="20"/>
          <w:szCs w:val="20"/>
        </w:rPr>
        <w:t xml:space="preserve"> </w:t>
      </w:r>
      <w:r w:rsidR="004A62CA" w:rsidRPr="004A62CA">
        <w:rPr>
          <w:sz w:val="20"/>
          <w:szCs w:val="20"/>
        </w:rPr>
        <w:t>7:</w:t>
      </w:r>
      <w:r>
        <w:rPr>
          <w:sz w:val="20"/>
          <w:szCs w:val="20"/>
        </w:rPr>
        <w:t xml:space="preserve"> </w:t>
      </w:r>
      <w:r w:rsidR="004A62CA" w:rsidRPr="004A62CA">
        <w:rPr>
          <w:sz w:val="20"/>
          <w:szCs w:val="20"/>
        </w:rPr>
        <w:t>2221.</w:t>
      </w:r>
    </w:p>
    <w:p w14:paraId="1AD9C4AA" w14:textId="77777777" w:rsidR="004A62CA" w:rsidRPr="004A62CA" w:rsidRDefault="004A62CA" w:rsidP="004A62CA">
      <w:pPr>
        <w:spacing w:line="360" w:lineRule="auto"/>
        <w:jc w:val="both"/>
        <w:rPr>
          <w:sz w:val="20"/>
          <w:szCs w:val="20"/>
        </w:rPr>
      </w:pPr>
    </w:p>
    <w:p w14:paraId="2F5A668E" w14:textId="7BDD36E9" w:rsidR="004A62CA" w:rsidRPr="004A62CA" w:rsidRDefault="0065146C" w:rsidP="004A62CA">
      <w:pPr>
        <w:spacing w:line="360" w:lineRule="auto"/>
        <w:jc w:val="both"/>
        <w:rPr>
          <w:sz w:val="20"/>
          <w:szCs w:val="20"/>
        </w:rPr>
      </w:pPr>
      <w:r>
        <w:rPr>
          <w:sz w:val="20"/>
          <w:szCs w:val="20"/>
        </w:rPr>
        <w:t xml:space="preserve">22. </w:t>
      </w:r>
      <w:proofErr w:type="spellStart"/>
      <w:r w:rsidR="004A62CA" w:rsidRPr="004A62CA">
        <w:rPr>
          <w:sz w:val="20"/>
          <w:szCs w:val="20"/>
        </w:rPr>
        <w:t>Toscano</w:t>
      </w:r>
      <w:proofErr w:type="spellEnd"/>
      <w:r w:rsidR="004A62CA" w:rsidRPr="004A62CA">
        <w:rPr>
          <w:sz w:val="20"/>
          <w:szCs w:val="20"/>
        </w:rPr>
        <w:t xml:space="preserve"> G, </w:t>
      </w:r>
      <w:proofErr w:type="spellStart"/>
      <w:r w:rsidR="004A62CA" w:rsidRPr="004A62CA">
        <w:rPr>
          <w:sz w:val="20"/>
          <w:szCs w:val="20"/>
        </w:rPr>
        <w:t>Palmerini</w:t>
      </w:r>
      <w:proofErr w:type="spellEnd"/>
      <w:r w:rsidR="004A62CA" w:rsidRPr="004A62CA">
        <w:rPr>
          <w:sz w:val="20"/>
          <w:szCs w:val="20"/>
        </w:rPr>
        <w:t xml:space="preserve"> F, </w:t>
      </w:r>
      <w:proofErr w:type="spellStart"/>
      <w:r w:rsidR="004A62CA" w:rsidRPr="004A62CA">
        <w:rPr>
          <w:sz w:val="20"/>
          <w:szCs w:val="20"/>
        </w:rPr>
        <w:t>Ravaglia</w:t>
      </w:r>
      <w:proofErr w:type="spellEnd"/>
      <w:r w:rsidR="004A62CA" w:rsidRPr="004A62CA">
        <w:rPr>
          <w:sz w:val="20"/>
          <w:szCs w:val="20"/>
        </w:rPr>
        <w:t xml:space="preserve"> S, Ruiz L, </w:t>
      </w:r>
      <w:proofErr w:type="spellStart"/>
      <w:r w:rsidR="004A62CA" w:rsidRPr="004A62CA">
        <w:rPr>
          <w:sz w:val="20"/>
          <w:szCs w:val="20"/>
        </w:rPr>
        <w:t>Invernizzi</w:t>
      </w:r>
      <w:proofErr w:type="spellEnd"/>
      <w:r w:rsidR="004A62CA" w:rsidRPr="004A62CA">
        <w:rPr>
          <w:sz w:val="20"/>
          <w:szCs w:val="20"/>
        </w:rPr>
        <w:t xml:space="preserve"> P, </w:t>
      </w:r>
      <w:r>
        <w:rPr>
          <w:sz w:val="20"/>
          <w:szCs w:val="20"/>
        </w:rPr>
        <w:t>et al. (2020)</w:t>
      </w:r>
      <w:r w:rsidR="004A62CA" w:rsidRPr="004A62CA">
        <w:rPr>
          <w:sz w:val="20"/>
          <w:szCs w:val="20"/>
        </w:rPr>
        <w:t xml:space="preserve"> </w:t>
      </w:r>
      <w:proofErr w:type="spellStart"/>
      <w:r w:rsidR="004A62CA" w:rsidRPr="004A62CA">
        <w:rPr>
          <w:sz w:val="20"/>
          <w:szCs w:val="20"/>
        </w:rPr>
        <w:t>Franciotta</w:t>
      </w:r>
      <w:proofErr w:type="spellEnd"/>
      <w:r w:rsidR="004A62CA" w:rsidRPr="004A62CA">
        <w:rPr>
          <w:sz w:val="20"/>
          <w:szCs w:val="20"/>
        </w:rPr>
        <w:t xml:space="preserve"> D, </w:t>
      </w:r>
      <w:proofErr w:type="spellStart"/>
      <w:r w:rsidR="004A62CA" w:rsidRPr="004A62CA">
        <w:rPr>
          <w:sz w:val="20"/>
          <w:szCs w:val="20"/>
        </w:rPr>
        <w:t>Baldanti</w:t>
      </w:r>
      <w:proofErr w:type="spellEnd"/>
      <w:r w:rsidR="004A62CA" w:rsidRPr="004A62CA">
        <w:rPr>
          <w:sz w:val="20"/>
          <w:szCs w:val="20"/>
        </w:rPr>
        <w:t xml:space="preserve"> F, </w:t>
      </w:r>
      <w:proofErr w:type="spellStart"/>
      <w:r w:rsidR="004A62CA" w:rsidRPr="004A62CA">
        <w:rPr>
          <w:sz w:val="20"/>
          <w:szCs w:val="20"/>
        </w:rPr>
        <w:t>Daturi</w:t>
      </w:r>
      <w:proofErr w:type="spellEnd"/>
      <w:r w:rsidR="004A62CA" w:rsidRPr="004A62CA">
        <w:rPr>
          <w:sz w:val="20"/>
          <w:szCs w:val="20"/>
        </w:rPr>
        <w:t xml:space="preserve"> R, </w:t>
      </w:r>
      <w:proofErr w:type="spellStart"/>
      <w:r w:rsidR="004A62CA" w:rsidRPr="004A62CA">
        <w:rPr>
          <w:sz w:val="20"/>
          <w:szCs w:val="20"/>
        </w:rPr>
        <w:t>Postorino</w:t>
      </w:r>
      <w:proofErr w:type="spellEnd"/>
      <w:r w:rsidR="004A62CA" w:rsidRPr="004A62CA">
        <w:rPr>
          <w:sz w:val="20"/>
          <w:szCs w:val="20"/>
        </w:rPr>
        <w:t xml:space="preserve"> P, </w:t>
      </w:r>
      <w:proofErr w:type="spellStart"/>
      <w:r w:rsidR="004A62CA" w:rsidRPr="004A62CA">
        <w:rPr>
          <w:sz w:val="20"/>
          <w:szCs w:val="20"/>
        </w:rPr>
        <w:t>Cavallini</w:t>
      </w:r>
      <w:proofErr w:type="spellEnd"/>
      <w:r w:rsidR="004A62CA" w:rsidRPr="004A62CA">
        <w:rPr>
          <w:sz w:val="20"/>
          <w:szCs w:val="20"/>
        </w:rPr>
        <w:t xml:space="preserve"> A, </w:t>
      </w:r>
      <w:proofErr w:type="spellStart"/>
      <w:r w:rsidR="004A62CA" w:rsidRPr="004A62CA">
        <w:rPr>
          <w:sz w:val="20"/>
          <w:szCs w:val="20"/>
        </w:rPr>
        <w:t>Micieli</w:t>
      </w:r>
      <w:proofErr w:type="spellEnd"/>
      <w:r w:rsidR="004A62CA" w:rsidRPr="004A62CA">
        <w:rPr>
          <w:sz w:val="20"/>
          <w:szCs w:val="20"/>
        </w:rPr>
        <w:t xml:space="preserve"> G </w:t>
      </w:r>
      <w:proofErr w:type="spellStart"/>
      <w:r w:rsidR="004A62CA" w:rsidRPr="004A62CA">
        <w:rPr>
          <w:sz w:val="20"/>
          <w:szCs w:val="20"/>
        </w:rPr>
        <w:t>Guillain-BarrèSARS-CoV</w:t>
      </w:r>
      <w:proofErr w:type="spellEnd"/>
      <w:r w:rsidR="004A62CA" w:rsidRPr="004A62CA">
        <w:rPr>
          <w:sz w:val="20"/>
          <w:szCs w:val="20"/>
        </w:rPr>
        <w:t xml:space="preserve"> 2. N </w:t>
      </w:r>
      <w:proofErr w:type="spellStart"/>
      <w:r w:rsidR="004A62CA" w:rsidRPr="004A62CA">
        <w:rPr>
          <w:sz w:val="20"/>
          <w:szCs w:val="20"/>
        </w:rPr>
        <w:t>Engl</w:t>
      </w:r>
      <w:proofErr w:type="spellEnd"/>
      <w:r w:rsidR="004A62CA" w:rsidRPr="004A62CA">
        <w:rPr>
          <w:sz w:val="20"/>
          <w:szCs w:val="20"/>
        </w:rPr>
        <w:t xml:space="preserve"> J Med</w:t>
      </w:r>
      <w:r>
        <w:rPr>
          <w:sz w:val="20"/>
          <w:szCs w:val="20"/>
        </w:rPr>
        <w:t xml:space="preserve"> </w:t>
      </w:r>
      <w:r w:rsidR="004A62CA" w:rsidRPr="004A62CA">
        <w:rPr>
          <w:sz w:val="20"/>
          <w:szCs w:val="20"/>
        </w:rPr>
        <w:t>382:</w:t>
      </w:r>
      <w:r>
        <w:rPr>
          <w:sz w:val="20"/>
          <w:szCs w:val="20"/>
        </w:rPr>
        <w:t xml:space="preserve"> </w:t>
      </w:r>
      <w:r w:rsidR="004A62CA" w:rsidRPr="004A62CA">
        <w:rPr>
          <w:sz w:val="20"/>
          <w:szCs w:val="20"/>
        </w:rPr>
        <w:t>2574-6.</w:t>
      </w:r>
    </w:p>
    <w:p w14:paraId="3A1D234A" w14:textId="77777777" w:rsidR="004A62CA" w:rsidRPr="004A62CA" w:rsidRDefault="004A62CA" w:rsidP="004A62CA">
      <w:pPr>
        <w:spacing w:line="360" w:lineRule="auto"/>
        <w:jc w:val="both"/>
        <w:rPr>
          <w:sz w:val="20"/>
          <w:szCs w:val="20"/>
        </w:rPr>
      </w:pPr>
    </w:p>
    <w:p w14:paraId="0ADF8F39" w14:textId="53740C62" w:rsidR="004A62CA" w:rsidRPr="004A62CA" w:rsidRDefault="0065146C" w:rsidP="004A62CA">
      <w:pPr>
        <w:spacing w:line="360" w:lineRule="auto"/>
        <w:jc w:val="both"/>
        <w:rPr>
          <w:sz w:val="20"/>
          <w:szCs w:val="20"/>
        </w:rPr>
      </w:pPr>
      <w:r>
        <w:rPr>
          <w:sz w:val="20"/>
          <w:szCs w:val="20"/>
        </w:rPr>
        <w:t xml:space="preserve">23. </w:t>
      </w:r>
      <w:r w:rsidR="004A62CA" w:rsidRPr="004A62CA">
        <w:rPr>
          <w:sz w:val="20"/>
          <w:szCs w:val="20"/>
        </w:rPr>
        <w:t>Abu-</w:t>
      </w:r>
      <w:proofErr w:type="spellStart"/>
      <w:r w:rsidR="004A62CA" w:rsidRPr="004A62CA">
        <w:rPr>
          <w:sz w:val="20"/>
          <w:szCs w:val="20"/>
        </w:rPr>
        <w:t>Rumeileh</w:t>
      </w:r>
      <w:proofErr w:type="spellEnd"/>
      <w:r w:rsidR="004A62CA" w:rsidRPr="004A62CA">
        <w:rPr>
          <w:sz w:val="20"/>
          <w:szCs w:val="20"/>
        </w:rPr>
        <w:t xml:space="preserve"> S, </w:t>
      </w:r>
      <w:proofErr w:type="spellStart"/>
      <w:r w:rsidR="004A62CA" w:rsidRPr="004A62CA">
        <w:rPr>
          <w:sz w:val="20"/>
          <w:szCs w:val="20"/>
        </w:rPr>
        <w:t>Abdelhak</w:t>
      </w:r>
      <w:proofErr w:type="spellEnd"/>
      <w:r w:rsidR="004A62CA" w:rsidRPr="004A62CA">
        <w:rPr>
          <w:sz w:val="20"/>
          <w:szCs w:val="20"/>
        </w:rPr>
        <w:t xml:space="preserve"> A, </w:t>
      </w:r>
      <w:proofErr w:type="spellStart"/>
      <w:r w:rsidR="004A62CA" w:rsidRPr="004A62CA">
        <w:rPr>
          <w:sz w:val="20"/>
          <w:szCs w:val="20"/>
        </w:rPr>
        <w:t>Foschi</w:t>
      </w:r>
      <w:proofErr w:type="spellEnd"/>
      <w:r w:rsidR="004A62CA" w:rsidRPr="004A62CA">
        <w:rPr>
          <w:sz w:val="20"/>
          <w:szCs w:val="20"/>
        </w:rPr>
        <w:t xml:space="preserve"> M, </w:t>
      </w:r>
      <w:proofErr w:type="spellStart"/>
      <w:r w:rsidR="004A62CA" w:rsidRPr="004A62CA">
        <w:rPr>
          <w:sz w:val="20"/>
          <w:szCs w:val="20"/>
        </w:rPr>
        <w:t>Tumani</w:t>
      </w:r>
      <w:proofErr w:type="spellEnd"/>
      <w:r w:rsidR="004A62CA" w:rsidRPr="004A62CA">
        <w:rPr>
          <w:sz w:val="20"/>
          <w:szCs w:val="20"/>
        </w:rPr>
        <w:t xml:space="preserve"> H, Otto M </w:t>
      </w:r>
      <w:r>
        <w:rPr>
          <w:sz w:val="20"/>
          <w:szCs w:val="20"/>
        </w:rPr>
        <w:t xml:space="preserve">(2020) </w:t>
      </w:r>
      <w:proofErr w:type="spellStart"/>
      <w:r w:rsidR="004A62CA" w:rsidRPr="004A62CA">
        <w:rPr>
          <w:sz w:val="20"/>
          <w:szCs w:val="20"/>
        </w:rPr>
        <w:t>Guillain-Barrésyndrome</w:t>
      </w:r>
      <w:proofErr w:type="spellEnd"/>
      <w:r w:rsidR="004A62CA" w:rsidRPr="004A62CA">
        <w:rPr>
          <w:sz w:val="20"/>
          <w:szCs w:val="20"/>
        </w:rPr>
        <w:t xml:space="preserve"> spectrum associated with COVID-19: an up-to-date systematic review of 73 cases. J Neurol</w:t>
      </w:r>
      <w:r>
        <w:rPr>
          <w:sz w:val="20"/>
          <w:szCs w:val="20"/>
        </w:rPr>
        <w:t xml:space="preserve"> </w:t>
      </w:r>
      <w:r w:rsidR="004A62CA" w:rsidRPr="004A62CA">
        <w:rPr>
          <w:sz w:val="20"/>
          <w:szCs w:val="20"/>
        </w:rPr>
        <w:t>268:</w:t>
      </w:r>
      <w:r>
        <w:rPr>
          <w:sz w:val="20"/>
          <w:szCs w:val="20"/>
        </w:rPr>
        <w:t xml:space="preserve"> </w:t>
      </w:r>
      <w:r w:rsidR="004A62CA" w:rsidRPr="004A62CA">
        <w:rPr>
          <w:sz w:val="20"/>
          <w:szCs w:val="20"/>
        </w:rPr>
        <w:t>1133.</w:t>
      </w:r>
    </w:p>
    <w:p w14:paraId="3D86402B" w14:textId="77777777" w:rsidR="004A62CA" w:rsidRPr="004A62CA" w:rsidRDefault="004A62CA" w:rsidP="004A62CA">
      <w:pPr>
        <w:spacing w:line="360" w:lineRule="auto"/>
        <w:jc w:val="both"/>
        <w:rPr>
          <w:sz w:val="20"/>
          <w:szCs w:val="20"/>
        </w:rPr>
      </w:pPr>
    </w:p>
    <w:p w14:paraId="62588FE1" w14:textId="206CEFA8" w:rsidR="004A62CA" w:rsidRPr="004A62CA" w:rsidRDefault="0065146C" w:rsidP="004A62CA">
      <w:pPr>
        <w:spacing w:line="360" w:lineRule="auto"/>
        <w:jc w:val="both"/>
        <w:rPr>
          <w:sz w:val="20"/>
          <w:szCs w:val="20"/>
        </w:rPr>
      </w:pPr>
      <w:r>
        <w:rPr>
          <w:sz w:val="20"/>
          <w:szCs w:val="20"/>
        </w:rPr>
        <w:t xml:space="preserve">24. </w:t>
      </w:r>
      <w:r w:rsidR="004A62CA" w:rsidRPr="004A62CA">
        <w:rPr>
          <w:sz w:val="20"/>
          <w:szCs w:val="20"/>
        </w:rPr>
        <w:t xml:space="preserve">McDonnell EP, </w:t>
      </w:r>
      <w:proofErr w:type="spellStart"/>
      <w:r w:rsidR="004A62CA" w:rsidRPr="004A62CA">
        <w:rPr>
          <w:sz w:val="20"/>
          <w:szCs w:val="20"/>
        </w:rPr>
        <w:t>Altomare</w:t>
      </w:r>
      <w:proofErr w:type="spellEnd"/>
      <w:r w:rsidR="004A62CA" w:rsidRPr="004A62CA">
        <w:rPr>
          <w:sz w:val="20"/>
          <w:szCs w:val="20"/>
        </w:rPr>
        <w:t xml:space="preserve"> NJ, Parekh YH, Gowda RC, Parikh PD, </w:t>
      </w:r>
      <w:r>
        <w:rPr>
          <w:sz w:val="20"/>
          <w:szCs w:val="20"/>
        </w:rPr>
        <w:t>et al. (2020)</w:t>
      </w:r>
      <w:r w:rsidR="004A62CA" w:rsidRPr="004A62CA">
        <w:rPr>
          <w:sz w:val="20"/>
          <w:szCs w:val="20"/>
        </w:rPr>
        <w:t xml:space="preserve"> COVID-19 as a Trigger of Recurrent </w:t>
      </w:r>
      <w:proofErr w:type="spellStart"/>
      <w:r w:rsidR="004A62CA" w:rsidRPr="004A62CA">
        <w:rPr>
          <w:sz w:val="20"/>
          <w:szCs w:val="20"/>
        </w:rPr>
        <w:t>Guillain-BarréSyndrome</w:t>
      </w:r>
      <w:proofErr w:type="spellEnd"/>
      <w:r w:rsidR="004A62CA" w:rsidRPr="004A62CA">
        <w:rPr>
          <w:sz w:val="20"/>
          <w:szCs w:val="20"/>
        </w:rPr>
        <w:t>. Pathogens</w:t>
      </w:r>
      <w:r>
        <w:rPr>
          <w:sz w:val="20"/>
          <w:szCs w:val="20"/>
        </w:rPr>
        <w:t xml:space="preserve"> </w:t>
      </w:r>
      <w:r w:rsidR="004A62CA" w:rsidRPr="004A62CA">
        <w:rPr>
          <w:sz w:val="20"/>
          <w:szCs w:val="20"/>
        </w:rPr>
        <w:t>9</w:t>
      </w:r>
      <w:r>
        <w:rPr>
          <w:sz w:val="20"/>
          <w:szCs w:val="20"/>
        </w:rPr>
        <w:t>: 1</w:t>
      </w:r>
      <w:r w:rsidR="004A62CA" w:rsidRPr="004A62CA">
        <w:rPr>
          <w:sz w:val="20"/>
          <w:szCs w:val="20"/>
        </w:rPr>
        <w:t>.</w:t>
      </w:r>
    </w:p>
    <w:p w14:paraId="7A9497E8" w14:textId="77777777" w:rsidR="004A62CA" w:rsidRPr="004A62CA" w:rsidRDefault="004A62CA" w:rsidP="004A62CA">
      <w:pPr>
        <w:spacing w:line="360" w:lineRule="auto"/>
        <w:jc w:val="both"/>
        <w:rPr>
          <w:sz w:val="20"/>
          <w:szCs w:val="20"/>
        </w:rPr>
      </w:pPr>
    </w:p>
    <w:p w14:paraId="31949213" w14:textId="6369AD8C" w:rsidR="004A62CA" w:rsidRPr="004A62CA" w:rsidRDefault="0065146C" w:rsidP="004A62CA">
      <w:pPr>
        <w:spacing w:line="360" w:lineRule="auto"/>
        <w:jc w:val="both"/>
        <w:rPr>
          <w:sz w:val="20"/>
          <w:szCs w:val="20"/>
        </w:rPr>
      </w:pPr>
      <w:r>
        <w:rPr>
          <w:sz w:val="20"/>
          <w:szCs w:val="20"/>
        </w:rPr>
        <w:t xml:space="preserve">24. </w:t>
      </w:r>
      <w:r w:rsidR="004A62CA" w:rsidRPr="004A62CA">
        <w:rPr>
          <w:sz w:val="20"/>
          <w:szCs w:val="20"/>
        </w:rPr>
        <w:t xml:space="preserve">Greene SK, </w:t>
      </w:r>
      <w:proofErr w:type="spellStart"/>
      <w:r w:rsidR="004A62CA" w:rsidRPr="004A62CA">
        <w:rPr>
          <w:sz w:val="20"/>
          <w:szCs w:val="20"/>
        </w:rPr>
        <w:t>Rett</w:t>
      </w:r>
      <w:proofErr w:type="spellEnd"/>
      <w:r w:rsidR="004A62CA" w:rsidRPr="004A62CA">
        <w:rPr>
          <w:sz w:val="20"/>
          <w:szCs w:val="20"/>
        </w:rPr>
        <w:t xml:space="preserve"> MD, </w:t>
      </w:r>
      <w:proofErr w:type="spellStart"/>
      <w:r w:rsidR="004A62CA" w:rsidRPr="004A62CA">
        <w:rPr>
          <w:sz w:val="20"/>
          <w:szCs w:val="20"/>
        </w:rPr>
        <w:t>Vellozzi</w:t>
      </w:r>
      <w:proofErr w:type="spellEnd"/>
      <w:r w:rsidR="004A62CA" w:rsidRPr="004A62CA">
        <w:rPr>
          <w:sz w:val="20"/>
          <w:szCs w:val="20"/>
        </w:rPr>
        <w:t xml:space="preserve"> C, Li L, </w:t>
      </w:r>
      <w:proofErr w:type="spellStart"/>
      <w:r w:rsidR="004A62CA" w:rsidRPr="004A62CA">
        <w:rPr>
          <w:sz w:val="20"/>
          <w:szCs w:val="20"/>
        </w:rPr>
        <w:t>Kulldorff</w:t>
      </w:r>
      <w:proofErr w:type="spellEnd"/>
      <w:r w:rsidR="004A62CA" w:rsidRPr="004A62CA">
        <w:rPr>
          <w:sz w:val="20"/>
          <w:szCs w:val="20"/>
        </w:rPr>
        <w:t xml:space="preserve"> M, </w:t>
      </w:r>
      <w:r>
        <w:rPr>
          <w:sz w:val="20"/>
          <w:szCs w:val="20"/>
        </w:rPr>
        <w:t xml:space="preserve">et al. (2013) </w:t>
      </w:r>
      <w:proofErr w:type="spellStart"/>
      <w:r w:rsidR="004A62CA" w:rsidRPr="004A62CA">
        <w:rPr>
          <w:sz w:val="20"/>
          <w:szCs w:val="20"/>
        </w:rPr>
        <w:t>Guillain</w:t>
      </w:r>
      <w:proofErr w:type="spellEnd"/>
      <w:r w:rsidR="004A62CA" w:rsidRPr="004A62CA">
        <w:rPr>
          <w:sz w:val="20"/>
          <w:szCs w:val="20"/>
        </w:rPr>
        <w:t xml:space="preserve">- </w:t>
      </w:r>
      <w:proofErr w:type="spellStart"/>
      <w:r w:rsidR="004A62CA" w:rsidRPr="004A62CA">
        <w:rPr>
          <w:sz w:val="20"/>
          <w:szCs w:val="20"/>
        </w:rPr>
        <w:t>BarréSyndrome</w:t>
      </w:r>
      <w:proofErr w:type="spellEnd"/>
      <w:r w:rsidR="004A62CA" w:rsidRPr="004A62CA">
        <w:rPr>
          <w:sz w:val="20"/>
          <w:szCs w:val="20"/>
        </w:rPr>
        <w:t xml:space="preserve">, Influenza Vaccination, and Antecedent Respiratory and Gastrointestinal Infections: A Case- Centered Analysis in the Vaccine Safety Datalink, 2009-2011. AU </w:t>
      </w:r>
      <w:proofErr w:type="spellStart"/>
      <w:r w:rsidR="004A62CA" w:rsidRPr="004A62CA">
        <w:rPr>
          <w:sz w:val="20"/>
          <w:szCs w:val="20"/>
        </w:rPr>
        <w:t>PLoS</w:t>
      </w:r>
      <w:proofErr w:type="spellEnd"/>
      <w:r w:rsidR="004A62CA" w:rsidRPr="004A62CA">
        <w:rPr>
          <w:sz w:val="20"/>
          <w:szCs w:val="20"/>
        </w:rPr>
        <w:t xml:space="preserve"> One</w:t>
      </w:r>
      <w:r>
        <w:rPr>
          <w:sz w:val="20"/>
          <w:szCs w:val="20"/>
        </w:rPr>
        <w:t xml:space="preserve"> </w:t>
      </w:r>
      <w:r w:rsidR="004A62CA" w:rsidRPr="004A62CA">
        <w:rPr>
          <w:sz w:val="20"/>
          <w:szCs w:val="20"/>
        </w:rPr>
        <w:t>8:</w:t>
      </w:r>
      <w:r>
        <w:rPr>
          <w:sz w:val="20"/>
          <w:szCs w:val="20"/>
        </w:rPr>
        <w:t xml:space="preserve"> </w:t>
      </w:r>
      <w:r w:rsidR="004A62CA" w:rsidRPr="004A62CA">
        <w:rPr>
          <w:sz w:val="20"/>
          <w:szCs w:val="20"/>
        </w:rPr>
        <w:t>e67185.</w:t>
      </w:r>
    </w:p>
    <w:p w14:paraId="2BB4A0DF" w14:textId="77777777" w:rsidR="004A62CA" w:rsidRPr="004A62CA" w:rsidRDefault="004A62CA" w:rsidP="004A62CA">
      <w:pPr>
        <w:spacing w:line="360" w:lineRule="auto"/>
        <w:jc w:val="both"/>
        <w:rPr>
          <w:sz w:val="20"/>
          <w:szCs w:val="20"/>
        </w:rPr>
      </w:pPr>
    </w:p>
    <w:p w14:paraId="4B8C46CE" w14:textId="59BED096" w:rsidR="004A62CA" w:rsidRPr="004A62CA" w:rsidRDefault="0065146C" w:rsidP="004A62CA">
      <w:pPr>
        <w:spacing w:line="360" w:lineRule="auto"/>
        <w:jc w:val="both"/>
        <w:rPr>
          <w:sz w:val="20"/>
          <w:szCs w:val="20"/>
        </w:rPr>
      </w:pPr>
      <w:r>
        <w:rPr>
          <w:sz w:val="20"/>
          <w:szCs w:val="20"/>
        </w:rPr>
        <w:t xml:space="preserve">25. </w:t>
      </w:r>
      <w:proofErr w:type="spellStart"/>
      <w:r w:rsidR="004A62CA" w:rsidRPr="004A62CA">
        <w:rPr>
          <w:sz w:val="20"/>
          <w:szCs w:val="20"/>
        </w:rPr>
        <w:t>Kwong</w:t>
      </w:r>
      <w:proofErr w:type="spellEnd"/>
      <w:r w:rsidR="004A62CA" w:rsidRPr="004A62CA">
        <w:rPr>
          <w:sz w:val="20"/>
          <w:szCs w:val="20"/>
        </w:rPr>
        <w:t xml:space="preserve"> JC, Vasa PP, Campitelli MA, Hawken S, Wilson K, </w:t>
      </w:r>
      <w:r>
        <w:rPr>
          <w:sz w:val="20"/>
          <w:szCs w:val="20"/>
        </w:rPr>
        <w:t>et al. (2013)</w:t>
      </w:r>
      <w:r w:rsidR="004A62CA" w:rsidRPr="004A62CA">
        <w:rPr>
          <w:sz w:val="20"/>
          <w:szCs w:val="20"/>
        </w:rPr>
        <w:t xml:space="preserve"> Risk of Guillain-Barré syndrome after seasonal influenza vaccination and influenza health-care encounters: a self-controlled study. AU Lancet Infect Dis</w:t>
      </w:r>
      <w:r>
        <w:rPr>
          <w:sz w:val="20"/>
          <w:szCs w:val="20"/>
        </w:rPr>
        <w:t xml:space="preserve"> </w:t>
      </w:r>
      <w:r w:rsidR="004A62CA" w:rsidRPr="004A62CA">
        <w:rPr>
          <w:sz w:val="20"/>
          <w:szCs w:val="20"/>
        </w:rPr>
        <w:t>13:</w:t>
      </w:r>
      <w:r>
        <w:rPr>
          <w:sz w:val="20"/>
          <w:szCs w:val="20"/>
        </w:rPr>
        <w:t xml:space="preserve"> </w:t>
      </w:r>
      <w:r w:rsidR="004A62CA" w:rsidRPr="004A62CA">
        <w:rPr>
          <w:sz w:val="20"/>
          <w:szCs w:val="20"/>
        </w:rPr>
        <w:t>769.</w:t>
      </w:r>
    </w:p>
    <w:p w14:paraId="5F8524BA" w14:textId="77777777" w:rsidR="004A62CA" w:rsidRPr="004A62CA" w:rsidRDefault="004A62CA" w:rsidP="004A62CA">
      <w:pPr>
        <w:spacing w:line="360" w:lineRule="auto"/>
        <w:jc w:val="both"/>
        <w:rPr>
          <w:sz w:val="20"/>
          <w:szCs w:val="20"/>
        </w:rPr>
      </w:pPr>
    </w:p>
    <w:p w14:paraId="11DECFE3" w14:textId="1C490749" w:rsidR="004A62CA" w:rsidRPr="004A62CA" w:rsidRDefault="0065146C" w:rsidP="004A62CA">
      <w:pPr>
        <w:spacing w:line="360" w:lineRule="auto"/>
        <w:jc w:val="both"/>
        <w:rPr>
          <w:sz w:val="20"/>
          <w:szCs w:val="20"/>
        </w:rPr>
      </w:pPr>
      <w:r>
        <w:rPr>
          <w:sz w:val="20"/>
          <w:szCs w:val="20"/>
        </w:rPr>
        <w:t xml:space="preserve">26. </w:t>
      </w:r>
      <w:r w:rsidR="004A62CA" w:rsidRPr="004A62CA">
        <w:rPr>
          <w:sz w:val="20"/>
          <w:szCs w:val="20"/>
        </w:rPr>
        <w:t xml:space="preserve">Chen RT, Rastogi SC, Mullen JR, Hayes SW, </w:t>
      </w:r>
      <w:proofErr w:type="spellStart"/>
      <w:r w:rsidR="004A62CA" w:rsidRPr="004A62CA">
        <w:rPr>
          <w:sz w:val="20"/>
          <w:szCs w:val="20"/>
        </w:rPr>
        <w:t>Cochi</w:t>
      </w:r>
      <w:proofErr w:type="spellEnd"/>
      <w:r w:rsidR="004A62CA" w:rsidRPr="004A62CA">
        <w:rPr>
          <w:sz w:val="20"/>
          <w:szCs w:val="20"/>
        </w:rPr>
        <w:t xml:space="preserve"> SL, </w:t>
      </w:r>
      <w:r w:rsidR="00B400C2">
        <w:rPr>
          <w:sz w:val="20"/>
          <w:szCs w:val="20"/>
        </w:rPr>
        <w:t xml:space="preserve">et al. (1994) </w:t>
      </w:r>
      <w:r w:rsidR="00B400C2" w:rsidRPr="004A62CA">
        <w:rPr>
          <w:sz w:val="20"/>
          <w:szCs w:val="20"/>
        </w:rPr>
        <w:t>The vaccine adverse event reporting system (VAERS)</w:t>
      </w:r>
      <w:r w:rsidR="00B400C2">
        <w:rPr>
          <w:sz w:val="20"/>
          <w:szCs w:val="20"/>
        </w:rPr>
        <w:t xml:space="preserve">. </w:t>
      </w:r>
      <w:r w:rsidR="004A62CA" w:rsidRPr="004A62CA">
        <w:rPr>
          <w:sz w:val="20"/>
          <w:szCs w:val="20"/>
        </w:rPr>
        <w:t>Vaccine</w:t>
      </w:r>
      <w:r>
        <w:rPr>
          <w:sz w:val="20"/>
          <w:szCs w:val="20"/>
        </w:rPr>
        <w:t xml:space="preserve"> </w:t>
      </w:r>
      <w:r w:rsidR="004A62CA" w:rsidRPr="004A62CA">
        <w:rPr>
          <w:sz w:val="20"/>
          <w:szCs w:val="20"/>
        </w:rPr>
        <w:t>12:</w:t>
      </w:r>
      <w:r>
        <w:rPr>
          <w:sz w:val="20"/>
          <w:szCs w:val="20"/>
        </w:rPr>
        <w:t xml:space="preserve"> </w:t>
      </w:r>
      <w:r w:rsidR="004A62CA" w:rsidRPr="004A62CA">
        <w:rPr>
          <w:sz w:val="20"/>
          <w:szCs w:val="20"/>
        </w:rPr>
        <w:t>542–50.</w:t>
      </w:r>
    </w:p>
    <w:p w14:paraId="2BD9E28D" w14:textId="77777777" w:rsidR="004A62CA" w:rsidRPr="004A62CA" w:rsidRDefault="004A62CA" w:rsidP="004A62CA">
      <w:pPr>
        <w:spacing w:line="360" w:lineRule="auto"/>
        <w:jc w:val="both"/>
        <w:rPr>
          <w:sz w:val="20"/>
          <w:szCs w:val="20"/>
        </w:rPr>
      </w:pPr>
    </w:p>
    <w:p w14:paraId="60D4FFB5" w14:textId="51C662FA" w:rsidR="004A62CA" w:rsidRPr="004A62CA" w:rsidRDefault="00B400C2" w:rsidP="004A62CA">
      <w:pPr>
        <w:spacing w:line="360" w:lineRule="auto"/>
        <w:jc w:val="both"/>
        <w:rPr>
          <w:sz w:val="20"/>
          <w:szCs w:val="20"/>
        </w:rPr>
      </w:pPr>
      <w:r>
        <w:rPr>
          <w:sz w:val="20"/>
          <w:szCs w:val="20"/>
        </w:rPr>
        <w:t xml:space="preserve">27. </w:t>
      </w:r>
      <w:r w:rsidR="004A62CA" w:rsidRPr="004A62CA">
        <w:rPr>
          <w:sz w:val="20"/>
          <w:szCs w:val="20"/>
        </w:rPr>
        <w:t xml:space="preserve">F </w:t>
      </w:r>
      <w:proofErr w:type="spellStart"/>
      <w:r w:rsidR="004A62CA" w:rsidRPr="004A62CA">
        <w:rPr>
          <w:sz w:val="20"/>
          <w:szCs w:val="20"/>
        </w:rPr>
        <w:t>Aomar</w:t>
      </w:r>
      <w:proofErr w:type="spellEnd"/>
      <w:r w:rsidR="004A62CA" w:rsidRPr="004A62CA">
        <w:rPr>
          <w:sz w:val="20"/>
          <w:szCs w:val="20"/>
        </w:rPr>
        <w:t>-Millan, J Martinez de Victoria-</w:t>
      </w:r>
      <w:proofErr w:type="spellStart"/>
      <w:r w:rsidR="004A62CA" w:rsidRPr="004A62CA">
        <w:rPr>
          <w:sz w:val="20"/>
          <w:szCs w:val="20"/>
        </w:rPr>
        <w:t>Carzo</w:t>
      </w:r>
      <w:proofErr w:type="spellEnd"/>
      <w:r w:rsidR="004A62CA" w:rsidRPr="004A62CA">
        <w:rPr>
          <w:sz w:val="20"/>
          <w:szCs w:val="20"/>
        </w:rPr>
        <w:t xml:space="preserve">, JA </w:t>
      </w:r>
      <w:proofErr w:type="spellStart"/>
      <w:r w:rsidR="004A62CA" w:rsidRPr="004A62CA">
        <w:rPr>
          <w:sz w:val="20"/>
          <w:szCs w:val="20"/>
        </w:rPr>
        <w:t>Peregrina</w:t>
      </w:r>
      <w:proofErr w:type="spellEnd"/>
      <w:r w:rsidR="004A62CA" w:rsidRPr="004A62CA">
        <w:rPr>
          <w:sz w:val="20"/>
          <w:szCs w:val="20"/>
        </w:rPr>
        <w:t>-Rivas</w:t>
      </w:r>
      <w:r>
        <w:rPr>
          <w:sz w:val="20"/>
          <w:szCs w:val="20"/>
        </w:rPr>
        <w:t xml:space="preserve"> (2019)</w:t>
      </w:r>
      <w:r w:rsidR="004A62CA" w:rsidRPr="004A62CA">
        <w:rPr>
          <w:sz w:val="20"/>
          <w:szCs w:val="20"/>
        </w:rPr>
        <w:t xml:space="preserve"> COVID-19, </w:t>
      </w:r>
      <w:proofErr w:type="spellStart"/>
      <w:r w:rsidR="004A62CA" w:rsidRPr="004A62CA">
        <w:rPr>
          <w:sz w:val="20"/>
          <w:szCs w:val="20"/>
        </w:rPr>
        <w:t>Guillain</w:t>
      </w:r>
      <w:proofErr w:type="spellEnd"/>
      <w:r w:rsidR="004A62CA" w:rsidRPr="004A62CA">
        <w:rPr>
          <w:sz w:val="20"/>
          <w:szCs w:val="20"/>
        </w:rPr>
        <w:t xml:space="preserve"> </w:t>
      </w:r>
      <w:proofErr w:type="spellStart"/>
      <w:r w:rsidR="004A62CA" w:rsidRPr="004A62CA">
        <w:rPr>
          <w:sz w:val="20"/>
          <w:szCs w:val="20"/>
        </w:rPr>
        <w:t>Barrè</w:t>
      </w:r>
      <w:proofErr w:type="spellEnd"/>
      <w:r w:rsidR="004A62CA" w:rsidRPr="004A62CA">
        <w:rPr>
          <w:sz w:val="20"/>
          <w:szCs w:val="20"/>
        </w:rPr>
        <w:t xml:space="preserve"> y </w:t>
      </w:r>
      <w:proofErr w:type="spellStart"/>
      <w:r w:rsidR="004A62CA" w:rsidRPr="004A62CA">
        <w:rPr>
          <w:sz w:val="20"/>
          <w:szCs w:val="20"/>
        </w:rPr>
        <w:t>vacuna</w:t>
      </w:r>
      <w:proofErr w:type="spellEnd"/>
      <w:r w:rsidR="004A62CA" w:rsidRPr="004A62CA">
        <w:rPr>
          <w:sz w:val="20"/>
          <w:szCs w:val="20"/>
        </w:rPr>
        <w:t xml:space="preserve">. </w:t>
      </w:r>
      <w:proofErr w:type="spellStart"/>
      <w:r w:rsidR="004A62CA" w:rsidRPr="004A62CA">
        <w:rPr>
          <w:sz w:val="20"/>
          <w:szCs w:val="20"/>
        </w:rPr>
        <w:t>Una</w:t>
      </w:r>
      <w:proofErr w:type="spellEnd"/>
      <w:r w:rsidR="004A62CA" w:rsidRPr="004A62CA">
        <w:rPr>
          <w:sz w:val="20"/>
          <w:szCs w:val="20"/>
        </w:rPr>
        <w:t xml:space="preserve"> </w:t>
      </w:r>
      <w:proofErr w:type="spellStart"/>
      <w:r w:rsidR="004A62CA" w:rsidRPr="004A62CA">
        <w:rPr>
          <w:sz w:val="20"/>
          <w:szCs w:val="20"/>
        </w:rPr>
        <w:t>mezcla</w:t>
      </w:r>
      <w:proofErr w:type="spellEnd"/>
      <w:r w:rsidR="004A62CA" w:rsidRPr="004A62CA">
        <w:rPr>
          <w:sz w:val="20"/>
          <w:szCs w:val="20"/>
        </w:rPr>
        <w:t xml:space="preserve"> </w:t>
      </w:r>
      <w:proofErr w:type="spellStart"/>
      <w:r w:rsidR="004A62CA" w:rsidRPr="004A62CA">
        <w:rPr>
          <w:sz w:val="20"/>
          <w:szCs w:val="20"/>
        </w:rPr>
        <w:t>peligrosa</w:t>
      </w:r>
      <w:proofErr w:type="spellEnd"/>
      <w:r w:rsidR="004A62CA" w:rsidRPr="004A62CA">
        <w:rPr>
          <w:sz w:val="20"/>
          <w:szCs w:val="20"/>
        </w:rPr>
        <w:t xml:space="preserve">, </w:t>
      </w:r>
      <w:proofErr w:type="spellStart"/>
      <w:r w:rsidR="004A62CA" w:rsidRPr="004A62CA">
        <w:rPr>
          <w:sz w:val="20"/>
          <w:szCs w:val="20"/>
        </w:rPr>
        <w:t>Revista</w:t>
      </w:r>
      <w:proofErr w:type="spellEnd"/>
      <w:r w:rsidR="004A62CA" w:rsidRPr="004A62CA">
        <w:rPr>
          <w:sz w:val="20"/>
          <w:szCs w:val="20"/>
        </w:rPr>
        <w:t xml:space="preserve"> </w:t>
      </w:r>
      <w:proofErr w:type="spellStart"/>
      <w:r w:rsidR="004A62CA" w:rsidRPr="004A62CA">
        <w:rPr>
          <w:sz w:val="20"/>
          <w:szCs w:val="20"/>
        </w:rPr>
        <w:t>Clinica</w:t>
      </w:r>
      <w:proofErr w:type="spellEnd"/>
      <w:r w:rsidR="004A62CA" w:rsidRPr="004A62CA">
        <w:rPr>
          <w:sz w:val="20"/>
          <w:szCs w:val="20"/>
        </w:rPr>
        <w:t xml:space="preserve"> Espanola.</w:t>
      </w:r>
    </w:p>
    <w:p w14:paraId="66629D57" w14:textId="77777777" w:rsidR="004A62CA" w:rsidRPr="004A62CA" w:rsidRDefault="004A62CA" w:rsidP="004A62CA">
      <w:pPr>
        <w:spacing w:line="360" w:lineRule="auto"/>
        <w:jc w:val="both"/>
        <w:rPr>
          <w:sz w:val="20"/>
          <w:szCs w:val="20"/>
        </w:rPr>
      </w:pPr>
    </w:p>
    <w:p w14:paraId="703B0398" w14:textId="4F206D13" w:rsidR="004A62CA" w:rsidRPr="004A62CA" w:rsidRDefault="00B400C2" w:rsidP="004A62CA">
      <w:pPr>
        <w:spacing w:line="360" w:lineRule="auto"/>
        <w:jc w:val="both"/>
        <w:rPr>
          <w:sz w:val="20"/>
          <w:szCs w:val="20"/>
        </w:rPr>
      </w:pPr>
      <w:r>
        <w:rPr>
          <w:sz w:val="20"/>
          <w:szCs w:val="20"/>
        </w:rPr>
        <w:t xml:space="preserve">28. </w:t>
      </w:r>
      <w:proofErr w:type="spellStart"/>
      <w:r w:rsidR="004A62CA" w:rsidRPr="004A62CA">
        <w:rPr>
          <w:sz w:val="20"/>
          <w:szCs w:val="20"/>
        </w:rPr>
        <w:t>Shreena</w:t>
      </w:r>
      <w:proofErr w:type="spellEnd"/>
      <w:r w:rsidR="004A62CA" w:rsidRPr="004A62CA">
        <w:rPr>
          <w:sz w:val="20"/>
          <w:szCs w:val="20"/>
        </w:rPr>
        <w:t xml:space="preserve"> </w:t>
      </w:r>
      <w:proofErr w:type="spellStart"/>
      <w:r w:rsidR="004A62CA" w:rsidRPr="004A62CA">
        <w:rPr>
          <w:sz w:val="20"/>
          <w:szCs w:val="20"/>
        </w:rPr>
        <w:t>Umit</w:t>
      </w:r>
      <w:proofErr w:type="spellEnd"/>
      <w:r w:rsidR="004A62CA" w:rsidRPr="004A62CA">
        <w:rPr>
          <w:sz w:val="20"/>
          <w:szCs w:val="20"/>
        </w:rPr>
        <w:t xml:space="preserve"> Patel, </w:t>
      </w:r>
      <w:proofErr w:type="spellStart"/>
      <w:r w:rsidR="004A62CA" w:rsidRPr="004A62CA">
        <w:rPr>
          <w:sz w:val="20"/>
          <w:szCs w:val="20"/>
        </w:rPr>
        <w:t>Ruhaid</w:t>
      </w:r>
      <w:proofErr w:type="spellEnd"/>
      <w:r w:rsidR="004A62CA" w:rsidRPr="004A62CA">
        <w:rPr>
          <w:sz w:val="20"/>
          <w:szCs w:val="20"/>
        </w:rPr>
        <w:t xml:space="preserve"> Khurram, Anjali Lakhani, Bernardine Quirk</w:t>
      </w:r>
      <w:r>
        <w:rPr>
          <w:sz w:val="20"/>
          <w:szCs w:val="20"/>
        </w:rPr>
        <w:t xml:space="preserve"> (2021)</w:t>
      </w:r>
      <w:r w:rsidR="004A62CA" w:rsidRPr="004A62CA">
        <w:rPr>
          <w:sz w:val="20"/>
          <w:szCs w:val="20"/>
        </w:rPr>
        <w:t xml:space="preserve"> Guillain Barre syndrome following the first dose of the </w:t>
      </w:r>
      <w:proofErr w:type="spellStart"/>
      <w:r w:rsidR="004A62CA" w:rsidRPr="004A62CA">
        <w:rPr>
          <w:sz w:val="20"/>
          <w:szCs w:val="20"/>
        </w:rPr>
        <w:t>chimapnzee</w:t>
      </w:r>
      <w:proofErr w:type="spellEnd"/>
      <w:r w:rsidR="004A62CA" w:rsidRPr="004A62CA">
        <w:rPr>
          <w:sz w:val="20"/>
          <w:szCs w:val="20"/>
        </w:rPr>
        <w:t xml:space="preserve"> adenovirus-vectored COVID-19 vaccine, ChAdOx1</w:t>
      </w:r>
      <w:r>
        <w:rPr>
          <w:sz w:val="20"/>
          <w:szCs w:val="20"/>
        </w:rPr>
        <w:t>.</w:t>
      </w:r>
      <w:r w:rsidR="004A62CA" w:rsidRPr="004A62CA">
        <w:rPr>
          <w:sz w:val="20"/>
          <w:szCs w:val="20"/>
        </w:rPr>
        <w:t xml:space="preserve"> BMJ Case Rep</w:t>
      </w:r>
      <w:r>
        <w:rPr>
          <w:sz w:val="20"/>
          <w:szCs w:val="20"/>
        </w:rPr>
        <w:t xml:space="preserve"> </w:t>
      </w:r>
      <w:r w:rsidR="004A62CA" w:rsidRPr="004A62CA">
        <w:rPr>
          <w:sz w:val="20"/>
          <w:szCs w:val="20"/>
        </w:rPr>
        <w:t>14:</w:t>
      </w:r>
      <w:r>
        <w:rPr>
          <w:sz w:val="20"/>
          <w:szCs w:val="20"/>
        </w:rPr>
        <w:t xml:space="preserve"> </w:t>
      </w:r>
      <w:r w:rsidR="004A62CA" w:rsidRPr="004A62CA">
        <w:rPr>
          <w:sz w:val="20"/>
          <w:szCs w:val="20"/>
        </w:rPr>
        <w:t>e242956.</w:t>
      </w:r>
    </w:p>
    <w:p w14:paraId="2305DB20" w14:textId="77777777" w:rsidR="004A62CA" w:rsidRPr="004A62CA" w:rsidRDefault="004A62CA" w:rsidP="004A62CA">
      <w:pPr>
        <w:spacing w:line="360" w:lineRule="auto"/>
        <w:jc w:val="both"/>
        <w:rPr>
          <w:sz w:val="20"/>
          <w:szCs w:val="20"/>
        </w:rPr>
      </w:pPr>
    </w:p>
    <w:p w14:paraId="32B42CAC" w14:textId="1FDD91E1" w:rsidR="004A62CA" w:rsidRPr="004A62CA" w:rsidRDefault="00B400C2" w:rsidP="004A62CA">
      <w:pPr>
        <w:spacing w:line="360" w:lineRule="auto"/>
        <w:jc w:val="both"/>
        <w:rPr>
          <w:sz w:val="20"/>
          <w:szCs w:val="20"/>
        </w:rPr>
      </w:pPr>
      <w:r>
        <w:rPr>
          <w:sz w:val="20"/>
          <w:szCs w:val="20"/>
        </w:rPr>
        <w:t xml:space="preserve">29. </w:t>
      </w:r>
      <w:proofErr w:type="spellStart"/>
      <w:r w:rsidR="004A62CA" w:rsidRPr="004A62CA">
        <w:rPr>
          <w:sz w:val="20"/>
          <w:szCs w:val="20"/>
        </w:rPr>
        <w:t>Boby</w:t>
      </w:r>
      <w:proofErr w:type="spellEnd"/>
      <w:r w:rsidR="004A62CA" w:rsidRPr="004A62CA">
        <w:rPr>
          <w:sz w:val="20"/>
          <w:szCs w:val="20"/>
        </w:rPr>
        <w:t xml:space="preserve"> V </w:t>
      </w:r>
      <w:proofErr w:type="spellStart"/>
      <w:r w:rsidR="004A62CA" w:rsidRPr="004A62CA">
        <w:rPr>
          <w:sz w:val="20"/>
          <w:szCs w:val="20"/>
        </w:rPr>
        <w:t>Marmattom</w:t>
      </w:r>
      <w:proofErr w:type="spellEnd"/>
      <w:r w:rsidR="004A62CA" w:rsidRPr="004A62CA">
        <w:rPr>
          <w:sz w:val="20"/>
          <w:szCs w:val="20"/>
        </w:rPr>
        <w:t xml:space="preserve">, </w:t>
      </w:r>
      <w:proofErr w:type="spellStart"/>
      <w:r w:rsidR="004A62CA" w:rsidRPr="004A62CA">
        <w:rPr>
          <w:sz w:val="20"/>
          <w:szCs w:val="20"/>
        </w:rPr>
        <w:t>Parameswaran</w:t>
      </w:r>
      <w:proofErr w:type="spellEnd"/>
      <w:r w:rsidR="004A62CA" w:rsidRPr="004A62CA">
        <w:rPr>
          <w:sz w:val="20"/>
          <w:szCs w:val="20"/>
        </w:rPr>
        <w:t xml:space="preserve"> </w:t>
      </w:r>
      <w:proofErr w:type="spellStart"/>
      <w:r w:rsidR="004A62CA" w:rsidRPr="004A62CA">
        <w:rPr>
          <w:sz w:val="20"/>
          <w:szCs w:val="20"/>
        </w:rPr>
        <w:t>Khrisnan</w:t>
      </w:r>
      <w:proofErr w:type="spellEnd"/>
      <w:r w:rsidR="004A62CA" w:rsidRPr="004A62CA">
        <w:rPr>
          <w:sz w:val="20"/>
          <w:szCs w:val="20"/>
        </w:rPr>
        <w:t xml:space="preserve">, </w:t>
      </w:r>
      <w:proofErr w:type="spellStart"/>
      <w:r w:rsidR="004A62CA" w:rsidRPr="004A62CA">
        <w:rPr>
          <w:sz w:val="20"/>
          <w:szCs w:val="20"/>
        </w:rPr>
        <w:t>Reji</w:t>
      </w:r>
      <w:proofErr w:type="spellEnd"/>
      <w:r w:rsidR="004A62CA" w:rsidRPr="004A62CA">
        <w:rPr>
          <w:sz w:val="20"/>
          <w:szCs w:val="20"/>
        </w:rPr>
        <w:t xml:space="preserve"> Paul, Sandeep </w:t>
      </w:r>
      <w:proofErr w:type="spellStart"/>
      <w:r w:rsidR="004A62CA" w:rsidRPr="004A62CA">
        <w:rPr>
          <w:sz w:val="20"/>
          <w:szCs w:val="20"/>
        </w:rPr>
        <w:t>Padmanabhan</w:t>
      </w:r>
      <w:proofErr w:type="spellEnd"/>
      <w:r w:rsidR="004A62CA" w:rsidRPr="004A62CA">
        <w:rPr>
          <w:sz w:val="20"/>
          <w:szCs w:val="20"/>
        </w:rPr>
        <w:t xml:space="preserve"> </w:t>
      </w:r>
      <w:proofErr w:type="spellStart"/>
      <w:r w:rsidR="004A62CA" w:rsidRPr="004A62CA">
        <w:rPr>
          <w:sz w:val="20"/>
          <w:szCs w:val="20"/>
        </w:rPr>
        <w:t>Soumya</w:t>
      </w:r>
      <w:proofErr w:type="spellEnd"/>
      <w:r w:rsidR="004A62CA" w:rsidRPr="004A62CA">
        <w:rPr>
          <w:sz w:val="20"/>
          <w:szCs w:val="20"/>
        </w:rPr>
        <w:t xml:space="preserve"> </w:t>
      </w:r>
      <w:proofErr w:type="spellStart"/>
      <w:r w:rsidR="004A62CA" w:rsidRPr="004A62CA">
        <w:rPr>
          <w:sz w:val="20"/>
          <w:szCs w:val="20"/>
        </w:rPr>
        <w:t>Cherudal</w:t>
      </w:r>
      <w:proofErr w:type="spellEnd"/>
      <w:r w:rsidR="004A62CA" w:rsidRPr="004A62CA">
        <w:rPr>
          <w:sz w:val="20"/>
          <w:szCs w:val="20"/>
        </w:rPr>
        <w:t xml:space="preserve"> Vishnu </w:t>
      </w:r>
      <w:proofErr w:type="spellStart"/>
      <w:r w:rsidR="004A62CA" w:rsidRPr="004A62CA">
        <w:rPr>
          <w:sz w:val="20"/>
          <w:szCs w:val="20"/>
        </w:rPr>
        <w:t>Nampoothiri</w:t>
      </w:r>
      <w:proofErr w:type="spellEnd"/>
      <w:r w:rsidR="004A62CA" w:rsidRPr="004A62CA">
        <w:rPr>
          <w:sz w:val="20"/>
          <w:szCs w:val="20"/>
        </w:rPr>
        <w:t xml:space="preserve">, </w:t>
      </w:r>
      <w:proofErr w:type="spellStart"/>
      <w:r w:rsidR="004A62CA" w:rsidRPr="004A62CA">
        <w:rPr>
          <w:sz w:val="20"/>
          <w:szCs w:val="20"/>
        </w:rPr>
        <w:t>Akheel</w:t>
      </w:r>
      <w:proofErr w:type="spellEnd"/>
      <w:r w:rsidR="004A62CA" w:rsidRPr="004A62CA">
        <w:rPr>
          <w:sz w:val="20"/>
          <w:szCs w:val="20"/>
        </w:rPr>
        <w:t xml:space="preserve"> A</w:t>
      </w:r>
      <w:r>
        <w:rPr>
          <w:sz w:val="20"/>
          <w:szCs w:val="20"/>
        </w:rPr>
        <w:t xml:space="preserve"> (2021)</w:t>
      </w:r>
      <w:r w:rsidR="004A62CA" w:rsidRPr="004A62CA">
        <w:rPr>
          <w:sz w:val="20"/>
          <w:szCs w:val="20"/>
        </w:rPr>
        <w:t xml:space="preserve"> Syed FRCP </w:t>
      </w:r>
      <w:proofErr w:type="spellStart"/>
      <w:r w:rsidR="004A62CA" w:rsidRPr="004A62CA">
        <w:rPr>
          <w:sz w:val="20"/>
          <w:szCs w:val="20"/>
        </w:rPr>
        <w:t>Halinder</w:t>
      </w:r>
      <w:proofErr w:type="spellEnd"/>
      <w:r w:rsidR="004A62CA" w:rsidRPr="004A62CA">
        <w:rPr>
          <w:sz w:val="20"/>
          <w:szCs w:val="20"/>
        </w:rPr>
        <w:t xml:space="preserve"> S. </w:t>
      </w:r>
      <w:proofErr w:type="spellStart"/>
      <w:r w:rsidR="004A62CA" w:rsidRPr="004A62CA">
        <w:rPr>
          <w:sz w:val="20"/>
          <w:szCs w:val="20"/>
        </w:rPr>
        <w:t>Mangat</w:t>
      </w:r>
      <w:proofErr w:type="spellEnd"/>
      <w:r w:rsidR="004A62CA" w:rsidRPr="004A62CA">
        <w:rPr>
          <w:sz w:val="20"/>
          <w:szCs w:val="20"/>
        </w:rPr>
        <w:t xml:space="preserve"> “</w:t>
      </w:r>
      <w:proofErr w:type="spellStart"/>
      <w:r w:rsidR="004A62CA" w:rsidRPr="004A62CA">
        <w:rPr>
          <w:sz w:val="20"/>
          <w:szCs w:val="20"/>
        </w:rPr>
        <w:t>guillain-Barrè</w:t>
      </w:r>
      <w:proofErr w:type="spellEnd"/>
      <w:r w:rsidR="004A62CA" w:rsidRPr="004A62CA">
        <w:rPr>
          <w:sz w:val="20"/>
          <w:szCs w:val="20"/>
        </w:rPr>
        <w:t xml:space="preserve"> Syndrome following ChAdOx1-S/nCoV-19 Vaccine</w:t>
      </w:r>
      <w:r>
        <w:rPr>
          <w:sz w:val="20"/>
          <w:szCs w:val="20"/>
        </w:rPr>
        <w:t>.</w:t>
      </w:r>
      <w:r w:rsidR="004A62CA" w:rsidRPr="004A62CA">
        <w:rPr>
          <w:sz w:val="20"/>
          <w:szCs w:val="20"/>
        </w:rPr>
        <w:t xml:space="preserve"> Ann Neurol</w:t>
      </w:r>
      <w:r>
        <w:rPr>
          <w:sz w:val="20"/>
          <w:szCs w:val="20"/>
        </w:rPr>
        <w:t xml:space="preserve"> </w:t>
      </w:r>
      <w:r w:rsidR="004A62CA" w:rsidRPr="004A62CA">
        <w:rPr>
          <w:sz w:val="20"/>
          <w:szCs w:val="20"/>
        </w:rPr>
        <w:t>00:</w:t>
      </w:r>
      <w:r>
        <w:rPr>
          <w:sz w:val="20"/>
          <w:szCs w:val="20"/>
        </w:rPr>
        <w:t xml:space="preserve"> </w:t>
      </w:r>
      <w:r w:rsidR="004A62CA" w:rsidRPr="004A62CA">
        <w:rPr>
          <w:sz w:val="20"/>
          <w:szCs w:val="20"/>
        </w:rPr>
        <w:t>1-3</w:t>
      </w:r>
    </w:p>
    <w:p w14:paraId="4522985A" w14:textId="77777777" w:rsidR="004A62CA" w:rsidRPr="004A62CA" w:rsidRDefault="004A62CA" w:rsidP="004A62CA">
      <w:pPr>
        <w:spacing w:line="360" w:lineRule="auto"/>
        <w:jc w:val="both"/>
        <w:rPr>
          <w:sz w:val="20"/>
          <w:szCs w:val="20"/>
        </w:rPr>
      </w:pPr>
    </w:p>
    <w:p w14:paraId="5B3B94AD" w14:textId="0C0A5BAD" w:rsidR="004A62CA" w:rsidRPr="004A62CA" w:rsidRDefault="004A62CA" w:rsidP="004A62CA">
      <w:pPr>
        <w:spacing w:line="360" w:lineRule="auto"/>
        <w:jc w:val="both"/>
        <w:rPr>
          <w:sz w:val="20"/>
          <w:szCs w:val="20"/>
        </w:rPr>
      </w:pPr>
      <w:r w:rsidRPr="004A62CA">
        <w:rPr>
          <w:sz w:val="20"/>
          <w:szCs w:val="20"/>
        </w:rPr>
        <w:t>30</w:t>
      </w:r>
      <w:r w:rsidR="00B400C2">
        <w:rPr>
          <w:sz w:val="20"/>
          <w:szCs w:val="20"/>
        </w:rPr>
        <w:t xml:space="preserve">. </w:t>
      </w:r>
      <w:r w:rsidRPr="004A62CA">
        <w:rPr>
          <w:sz w:val="20"/>
          <w:szCs w:val="20"/>
        </w:rPr>
        <w:t xml:space="preserve">Pieter A van </w:t>
      </w:r>
      <w:proofErr w:type="spellStart"/>
      <w:r w:rsidRPr="004A62CA">
        <w:rPr>
          <w:sz w:val="20"/>
          <w:szCs w:val="20"/>
        </w:rPr>
        <w:t>Doorn</w:t>
      </w:r>
      <w:proofErr w:type="spellEnd"/>
      <w:r w:rsidR="00B400C2">
        <w:rPr>
          <w:sz w:val="20"/>
          <w:szCs w:val="20"/>
        </w:rPr>
        <w:t xml:space="preserve"> (2013)</w:t>
      </w:r>
      <w:r w:rsidRPr="004A62CA">
        <w:rPr>
          <w:sz w:val="20"/>
          <w:szCs w:val="20"/>
        </w:rPr>
        <w:t xml:space="preserve"> Quarterly Medical Review “Diagnosis, treatment and prognosis of </w:t>
      </w:r>
      <w:proofErr w:type="spellStart"/>
      <w:r w:rsidRPr="004A62CA">
        <w:rPr>
          <w:sz w:val="20"/>
          <w:szCs w:val="20"/>
        </w:rPr>
        <w:t>Guillain-Barrè</w:t>
      </w:r>
      <w:proofErr w:type="spellEnd"/>
      <w:r w:rsidRPr="004A62CA">
        <w:rPr>
          <w:sz w:val="20"/>
          <w:szCs w:val="20"/>
        </w:rPr>
        <w:t xml:space="preserve"> syndrome (GBS) La </w:t>
      </w:r>
      <w:proofErr w:type="spellStart"/>
      <w:r w:rsidRPr="004A62CA">
        <w:rPr>
          <w:sz w:val="20"/>
          <w:szCs w:val="20"/>
        </w:rPr>
        <w:t>Presse</w:t>
      </w:r>
      <w:proofErr w:type="spellEnd"/>
      <w:r w:rsidRPr="004A62CA">
        <w:rPr>
          <w:sz w:val="20"/>
          <w:szCs w:val="20"/>
        </w:rPr>
        <w:t xml:space="preserve"> </w:t>
      </w:r>
      <w:proofErr w:type="spellStart"/>
      <w:r w:rsidRPr="004A62CA">
        <w:rPr>
          <w:sz w:val="20"/>
          <w:szCs w:val="20"/>
        </w:rPr>
        <w:t>Mèdicale</w:t>
      </w:r>
      <w:proofErr w:type="spellEnd"/>
      <w:r w:rsidRPr="004A62CA">
        <w:rPr>
          <w:sz w:val="20"/>
          <w:szCs w:val="20"/>
        </w:rPr>
        <w:t xml:space="preserve"> 42</w:t>
      </w:r>
      <w:r w:rsidR="00103601">
        <w:rPr>
          <w:sz w:val="20"/>
          <w:szCs w:val="20"/>
        </w:rPr>
        <w:t>:</w:t>
      </w:r>
      <w:r w:rsidRPr="004A62CA">
        <w:rPr>
          <w:sz w:val="20"/>
          <w:szCs w:val="20"/>
        </w:rPr>
        <w:t xml:space="preserve"> e193-e201.</w:t>
      </w:r>
    </w:p>
    <w:p w14:paraId="17C3A4D7" w14:textId="77777777" w:rsidR="004A62CA" w:rsidRPr="004A62CA" w:rsidRDefault="004A62CA" w:rsidP="004A62CA">
      <w:pPr>
        <w:spacing w:line="360" w:lineRule="auto"/>
        <w:jc w:val="both"/>
        <w:rPr>
          <w:sz w:val="20"/>
          <w:szCs w:val="20"/>
        </w:rPr>
      </w:pPr>
    </w:p>
    <w:p w14:paraId="47978679" w14:textId="453B6EAC" w:rsidR="004A62CA" w:rsidRPr="004A62CA" w:rsidRDefault="00103601" w:rsidP="004A62CA">
      <w:pPr>
        <w:spacing w:line="360" w:lineRule="auto"/>
        <w:jc w:val="both"/>
        <w:rPr>
          <w:sz w:val="20"/>
          <w:szCs w:val="20"/>
        </w:rPr>
      </w:pPr>
      <w:r>
        <w:rPr>
          <w:sz w:val="20"/>
          <w:szCs w:val="20"/>
        </w:rPr>
        <w:t xml:space="preserve">31. </w:t>
      </w:r>
      <w:r w:rsidR="004A62CA" w:rsidRPr="004A62CA">
        <w:rPr>
          <w:sz w:val="20"/>
          <w:szCs w:val="20"/>
        </w:rPr>
        <w:t>Updated GTH statement on vaccination with the AstraZeneca COVID-19 vaccine, as of March 22,</w:t>
      </w:r>
      <w:r>
        <w:rPr>
          <w:sz w:val="20"/>
          <w:szCs w:val="20"/>
        </w:rPr>
        <w:t xml:space="preserve"> </w:t>
      </w:r>
      <w:r w:rsidR="004A62CA" w:rsidRPr="004A62CA">
        <w:rPr>
          <w:sz w:val="20"/>
          <w:szCs w:val="20"/>
        </w:rPr>
        <w:t>2021.</w:t>
      </w:r>
    </w:p>
    <w:p w14:paraId="1B0EBCE8" w14:textId="77777777" w:rsidR="004A62CA" w:rsidRPr="004A62CA" w:rsidRDefault="004A62CA" w:rsidP="004A62CA">
      <w:pPr>
        <w:spacing w:line="360" w:lineRule="auto"/>
        <w:jc w:val="both"/>
        <w:rPr>
          <w:sz w:val="20"/>
          <w:szCs w:val="20"/>
        </w:rPr>
      </w:pPr>
    </w:p>
    <w:p w14:paraId="1F71C7CE" w14:textId="7EA41A87" w:rsidR="004A62CA" w:rsidRPr="004A62CA" w:rsidRDefault="00103601" w:rsidP="004A62CA">
      <w:pPr>
        <w:spacing w:line="360" w:lineRule="auto"/>
        <w:jc w:val="both"/>
        <w:rPr>
          <w:sz w:val="20"/>
          <w:szCs w:val="20"/>
        </w:rPr>
      </w:pPr>
      <w:r>
        <w:rPr>
          <w:sz w:val="20"/>
          <w:szCs w:val="20"/>
        </w:rPr>
        <w:t xml:space="preserve">32. </w:t>
      </w:r>
      <w:proofErr w:type="spellStart"/>
      <w:r w:rsidR="004A62CA" w:rsidRPr="004A62CA">
        <w:rPr>
          <w:sz w:val="20"/>
          <w:szCs w:val="20"/>
        </w:rPr>
        <w:t>Shreena</w:t>
      </w:r>
      <w:proofErr w:type="spellEnd"/>
      <w:r w:rsidR="004A62CA" w:rsidRPr="004A62CA">
        <w:rPr>
          <w:sz w:val="20"/>
          <w:szCs w:val="20"/>
        </w:rPr>
        <w:t xml:space="preserve"> </w:t>
      </w:r>
      <w:proofErr w:type="spellStart"/>
      <w:r w:rsidR="004A62CA" w:rsidRPr="004A62CA">
        <w:rPr>
          <w:sz w:val="20"/>
          <w:szCs w:val="20"/>
        </w:rPr>
        <w:t>Umit</w:t>
      </w:r>
      <w:proofErr w:type="spellEnd"/>
      <w:r w:rsidR="004A62CA" w:rsidRPr="004A62CA">
        <w:rPr>
          <w:sz w:val="20"/>
          <w:szCs w:val="20"/>
        </w:rPr>
        <w:t xml:space="preserve"> Patel, </w:t>
      </w:r>
      <w:proofErr w:type="spellStart"/>
      <w:r w:rsidR="004A62CA" w:rsidRPr="004A62CA">
        <w:rPr>
          <w:sz w:val="20"/>
          <w:szCs w:val="20"/>
        </w:rPr>
        <w:t>Ruhaid</w:t>
      </w:r>
      <w:proofErr w:type="spellEnd"/>
      <w:r w:rsidR="004A62CA" w:rsidRPr="004A62CA">
        <w:rPr>
          <w:sz w:val="20"/>
          <w:szCs w:val="20"/>
        </w:rPr>
        <w:t xml:space="preserve"> Khurram, Anjali Lakhani, Bernardine Quirk </w:t>
      </w:r>
      <w:r>
        <w:rPr>
          <w:sz w:val="20"/>
          <w:szCs w:val="20"/>
        </w:rPr>
        <w:t xml:space="preserve">(2021) </w:t>
      </w:r>
      <w:r w:rsidR="004A62CA" w:rsidRPr="004A62CA">
        <w:rPr>
          <w:sz w:val="20"/>
          <w:szCs w:val="20"/>
        </w:rPr>
        <w:t xml:space="preserve">Guillain Barre syndrome following the first dose of the </w:t>
      </w:r>
      <w:proofErr w:type="spellStart"/>
      <w:r w:rsidR="004A62CA" w:rsidRPr="004A62CA">
        <w:rPr>
          <w:sz w:val="20"/>
          <w:szCs w:val="20"/>
        </w:rPr>
        <w:t>chimapnzee</w:t>
      </w:r>
      <w:proofErr w:type="spellEnd"/>
      <w:r w:rsidR="004A62CA" w:rsidRPr="004A62CA">
        <w:rPr>
          <w:sz w:val="20"/>
          <w:szCs w:val="20"/>
        </w:rPr>
        <w:t xml:space="preserve"> adenovirus-vectored COVID-19 vaccine, ChAdOx1” BMJ Case Rep</w:t>
      </w:r>
      <w:r>
        <w:rPr>
          <w:sz w:val="20"/>
          <w:szCs w:val="20"/>
        </w:rPr>
        <w:t xml:space="preserve"> </w:t>
      </w:r>
      <w:r w:rsidR="004A62CA" w:rsidRPr="004A62CA">
        <w:rPr>
          <w:sz w:val="20"/>
          <w:szCs w:val="20"/>
        </w:rPr>
        <w:t>14:</w:t>
      </w:r>
      <w:r>
        <w:rPr>
          <w:sz w:val="20"/>
          <w:szCs w:val="20"/>
        </w:rPr>
        <w:t xml:space="preserve"> </w:t>
      </w:r>
      <w:r w:rsidR="004A62CA" w:rsidRPr="004A62CA">
        <w:rPr>
          <w:sz w:val="20"/>
          <w:szCs w:val="20"/>
        </w:rPr>
        <w:t>e242956.</w:t>
      </w:r>
    </w:p>
    <w:p w14:paraId="6B0AF42A" w14:textId="77777777" w:rsidR="004A62CA" w:rsidRPr="004A62CA" w:rsidRDefault="004A62CA" w:rsidP="004A62CA">
      <w:pPr>
        <w:spacing w:line="360" w:lineRule="auto"/>
        <w:jc w:val="both"/>
        <w:rPr>
          <w:sz w:val="20"/>
          <w:szCs w:val="20"/>
        </w:rPr>
      </w:pPr>
      <w:r w:rsidRPr="004A62CA">
        <w:rPr>
          <w:sz w:val="20"/>
          <w:szCs w:val="20"/>
        </w:rPr>
        <w:t xml:space="preserve"> </w:t>
      </w:r>
    </w:p>
    <w:p w14:paraId="1E45D04B" w14:textId="0CCAF682" w:rsidR="004A62CA" w:rsidRPr="004A62CA" w:rsidRDefault="00103601" w:rsidP="004A62CA">
      <w:pPr>
        <w:spacing w:line="360" w:lineRule="auto"/>
        <w:jc w:val="both"/>
        <w:rPr>
          <w:sz w:val="20"/>
          <w:szCs w:val="20"/>
        </w:rPr>
      </w:pPr>
      <w:r>
        <w:rPr>
          <w:sz w:val="20"/>
          <w:szCs w:val="20"/>
        </w:rPr>
        <w:t xml:space="preserve">33. </w:t>
      </w:r>
      <w:proofErr w:type="spellStart"/>
      <w:r w:rsidR="004A62CA" w:rsidRPr="004A62CA">
        <w:rPr>
          <w:sz w:val="20"/>
          <w:szCs w:val="20"/>
        </w:rPr>
        <w:t>Boby</w:t>
      </w:r>
      <w:proofErr w:type="spellEnd"/>
      <w:r w:rsidR="004A62CA" w:rsidRPr="004A62CA">
        <w:rPr>
          <w:sz w:val="20"/>
          <w:szCs w:val="20"/>
        </w:rPr>
        <w:t xml:space="preserve"> V </w:t>
      </w:r>
      <w:proofErr w:type="spellStart"/>
      <w:r w:rsidR="004A62CA" w:rsidRPr="004A62CA">
        <w:rPr>
          <w:sz w:val="20"/>
          <w:szCs w:val="20"/>
        </w:rPr>
        <w:t>Marmattom</w:t>
      </w:r>
      <w:proofErr w:type="spellEnd"/>
      <w:r w:rsidR="004A62CA" w:rsidRPr="004A62CA">
        <w:rPr>
          <w:sz w:val="20"/>
          <w:szCs w:val="20"/>
        </w:rPr>
        <w:t xml:space="preserve">, </w:t>
      </w:r>
      <w:proofErr w:type="spellStart"/>
      <w:r w:rsidR="004A62CA" w:rsidRPr="004A62CA">
        <w:rPr>
          <w:sz w:val="20"/>
          <w:szCs w:val="20"/>
        </w:rPr>
        <w:t>Parameswaran</w:t>
      </w:r>
      <w:proofErr w:type="spellEnd"/>
      <w:r w:rsidR="004A62CA" w:rsidRPr="004A62CA">
        <w:rPr>
          <w:sz w:val="20"/>
          <w:szCs w:val="20"/>
        </w:rPr>
        <w:t xml:space="preserve"> </w:t>
      </w:r>
      <w:proofErr w:type="spellStart"/>
      <w:r w:rsidR="004A62CA" w:rsidRPr="004A62CA">
        <w:rPr>
          <w:sz w:val="20"/>
          <w:szCs w:val="20"/>
        </w:rPr>
        <w:t>Khrisnan</w:t>
      </w:r>
      <w:proofErr w:type="spellEnd"/>
      <w:r w:rsidR="004A62CA" w:rsidRPr="004A62CA">
        <w:rPr>
          <w:sz w:val="20"/>
          <w:szCs w:val="20"/>
        </w:rPr>
        <w:t xml:space="preserve">, </w:t>
      </w:r>
      <w:proofErr w:type="spellStart"/>
      <w:r w:rsidR="004A62CA" w:rsidRPr="004A62CA">
        <w:rPr>
          <w:sz w:val="20"/>
          <w:szCs w:val="20"/>
        </w:rPr>
        <w:t>Reji</w:t>
      </w:r>
      <w:proofErr w:type="spellEnd"/>
      <w:r w:rsidR="004A62CA" w:rsidRPr="004A62CA">
        <w:rPr>
          <w:sz w:val="20"/>
          <w:szCs w:val="20"/>
        </w:rPr>
        <w:t xml:space="preserve"> Paul, Sandeep </w:t>
      </w:r>
      <w:proofErr w:type="spellStart"/>
      <w:r w:rsidR="004A62CA" w:rsidRPr="004A62CA">
        <w:rPr>
          <w:sz w:val="20"/>
          <w:szCs w:val="20"/>
        </w:rPr>
        <w:t>Padmanabhan</w:t>
      </w:r>
      <w:proofErr w:type="spellEnd"/>
      <w:r w:rsidR="004A62CA" w:rsidRPr="004A62CA">
        <w:rPr>
          <w:sz w:val="20"/>
          <w:szCs w:val="20"/>
        </w:rPr>
        <w:t xml:space="preserve"> </w:t>
      </w:r>
      <w:proofErr w:type="spellStart"/>
      <w:r w:rsidR="004A62CA" w:rsidRPr="004A62CA">
        <w:rPr>
          <w:sz w:val="20"/>
          <w:szCs w:val="20"/>
        </w:rPr>
        <w:t>Soumya</w:t>
      </w:r>
      <w:proofErr w:type="spellEnd"/>
      <w:r w:rsidR="004A62CA" w:rsidRPr="004A62CA">
        <w:rPr>
          <w:sz w:val="20"/>
          <w:szCs w:val="20"/>
        </w:rPr>
        <w:t xml:space="preserve"> </w:t>
      </w:r>
      <w:proofErr w:type="spellStart"/>
      <w:r w:rsidR="004A62CA" w:rsidRPr="004A62CA">
        <w:rPr>
          <w:sz w:val="20"/>
          <w:szCs w:val="20"/>
        </w:rPr>
        <w:t>Cherudal</w:t>
      </w:r>
      <w:proofErr w:type="spellEnd"/>
      <w:r w:rsidR="004A62CA" w:rsidRPr="004A62CA">
        <w:rPr>
          <w:sz w:val="20"/>
          <w:szCs w:val="20"/>
        </w:rPr>
        <w:t xml:space="preserve"> Vishnu </w:t>
      </w:r>
      <w:proofErr w:type="spellStart"/>
      <w:r w:rsidR="004A62CA" w:rsidRPr="004A62CA">
        <w:rPr>
          <w:sz w:val="20"/>
          <w:szCs w:val="20"/>
        </w:rPr>
        <w:t>Nampoothiri</w:t>
      </w:r>
      <w:proofErr w:type="spellEnd"/>
      <w:r w:rsidR="004A62CA" w:rsidRPr="004A62CA">
        <w:rPr>
          <w:sz w:val="20"/>
          <w:szCs w:val="20"/>
        </w:rPr>
        <w:t xml:space="preserve">, </w:t>
      </w:r>
      <w:proofErr w:type="spellStart"/>
      <w:r w:rsidR="004A62CA" w:rsidRPr="004A62CA">
        <w:rPr>
          <w:sz w:val="20"/>
          <w:szCs w:val="20"/>
        </w:rPr>
        <w:t>Akheel</w:t>
      </w:r>
      <w:proofErr w:type="spellEnd"/>
      <w:r w:rsidR="004A62CA" w:rsidRPr="004A62CA">
        <w:rPr>
          <w:sz w:val="20"/>
          <w:szCs w:val="20"/>
        </w:rPr>
        <w:t xml:space="preserve"> A. Syed FRCP </w:t>
      </w:r>
      <w:proofErr w:type="spellStart"/>
      <w:r w:rsidR="004A62CA" w:rsidRPr="004A62CA">
        <w:rPr>
          <w:sz w:val="20"/>
          <w:szCs w:val="20"/>
        </w:rPr>
        <w:t>Halinder</w:t>
      </w:r>
      <w:proofErr w:type="spellEnd"/>
      <w:r w:rsidR="004A62CA" w:rsidRPr="004A62CA">
        <w:rPr>
          <w:sz w:val="20"/>
          <w:szCs w:val="20"/>
        </w:rPr>
        <w:t xml:space="preserve"> S. </w:t>
      </w:r>
      <w:proofErr w:type="spellStart"/>
      <w:r w:rsidR="004A62CA" w:rsidRPr="004A62CA">
        <w:rPr>
          <w:sz w:val="20"/>
          <w:szCs w:val="20"/>
        </w:rPr>
        <w:t>Mangat</w:t>
      </w:r>
      <w:proofErr w:type="spellEnd"/>
      <w:r w:rsidR="004A62CA" w:rsidRPr="004A62CA">
        <w:rPr>
          <w:sz w:val="20"/>
          <w:szCs w:val="20"/>
        </w:rPr>
        <w:t xml:space="preserve"> “</w:t>
      </w:r>
      <w:proofErr w:type="spellStart"/>
      <w:r w:rsidR="004A62CA" w:rsidRPr="004A62CA">
        <w:rPr>
          <w:sz w:val="20"/>
          <w:szCs w:val="20"/>
        </w:rPr>
        <w:t>guillain-Barrè</w:t>
      </w:r>
      <w:proofErr w:type="spellEnd"/>
      <w:r w:rsidR="004A62CA" w:rsidRPr="004A62CA">
        <w:rPr>
          <w:sz w:val="20"/>
          <w:szCs w:val="20"/>
        </w:rPr>
        <w:t xml:space="preserve"> Syndrome following ChAdOx1-S/nCoV-19 Vaccine</w:t>
      </w:r>
      <w:r>
        <w:rPr>
          <w:sz w:val="20"/>
          <w:szCs w:val="20"/>
        </w:rPr>
        <w:t>.</w:t>
      </w:r>
      <w:r w:rsidR="004A62CA" w:rsidRPr="004A62CA">
        <w:rPr>
          <w:sz w:val="20"/>
          <w:szCs w:val="20"/>
        </w:rPr>
        <w:t xml:space="preserve"> Ann Neurol 00:</w:t>
      </w:r>
      <w:r>
        <w:rPr>
          <w:sz w:val="20"/>
          <w:szCs w:val="20"/>
        </w:rPr>
        <w:t xml:space="preserve"> </w:t>
      </w:r>
      <w:r w:rsidR="004A62CA" w:rsidRPr="004A62CA">
        <w:rPr>
          <w:sz w:val="20"/>
          <w:szCs w:val="20"/>
        </w:rPr>
        <w:t>1-3.</w:t>
      </w:r>
    </w:p>
    <w:p w14:paraId="77548969" w14:textId="77777777" w:rsidR="004A62CA" w:rsidRPr="004A62CA" w:rsidRDefault="004A62CA" w:rsidP="004A62CA">
      <w:pPr>
        <w:spacing w:line="360" w:lineRule="auto"/>
        <w:jc w:val="both"/>
        <w:rPr>
          <w:sz w:val="20"/>
          <w:szCs w:val="20"/>
        </w:rPr>
      </w:pPr>
    </w:p>
    <w:p w14:paraId="09252E99" w14:textId="62415E8A" w:rsidR="004A62CA" w:rsidRPr="004A62CA" w:rsidRDefault="00103601" w:rsidP="00103601">
      <w:pPr>
        <w:spacing w:line="360" w:lineRule="auto"/>
        <w:jc w:val="both"/>
        <w:rPr>
          <w:sz w:val="20"/>
          <w:szCs w:val="20"/>
        </w:rPr>
      </w:pPr>
      <w:r>
        <w:rPr>
          <w:sz w:val="20"/>
          <w:szCs w:val="20"/>
        </w:rPr>
        <w:t xml:space="preserve">34. </w:t>
      </w:r>
      <w:proofErr w:type="spellStart"/>
      <w:r w:rsidR="004A62CA" w:rsidRPr="004A62CA">
        <w:rPr>
          <w:sz w:val="20"/>
          <w:szCs w:val="20"/>
        </w:rPr>
        <w:t>Jospef</w:t>
      </w:r>
      <w:proofErr w:type="spellEnd"/>
      <w:r w:rsidR="004A62CA" w:rsidRPr="004A62CA">
        <w:rPr>
          <w:sz w:val="20"/>
          <w:szCs w:val="20"/>
        </w:rPr>
        <w:t xml:space="preserve"> </w:t>
      </w:r>
      <w:proofErr w:type="spellStart"/>
      <w:r w:rsidR="004A62CA" w:rsidRPr="004A62CA">
        <w:rPr>
          <w:sz w:val="20"/>
          <w:szCs w:val="20"/>
        </w:rPr>
        <w:t>Finsterer</w:t>
      </w:r>
      <w:proofErr w:type="spellEnd"/>
      <w:r w:rsidR="004A62CA" w:rsidRPr="004A62CA">
        <w:rPr>
          <w:sz w:val="20"/>
          <w:szCs w:val="20"/>
        </w:rPr>
        <w:t xml:space="preserve"> </w:t>
      </w:r>
      <w:r>
        <w:rPr>
          <w:sz w:val="20"/>
          <w:szCs w:val="20"/>
        </w:rPr>
        <w:t xml:space="preserve">(2021) </w:t>
      </w:r>
      <w:r w:rsidR="004A62CA" w:rsidRPr="004A62CA">
        <w:rPr>
          <w:sz w:val="20"/>
          <w:szCs w:val="20"/>
        </w:rPr>
        <w:t xml:space="preserve">Exacerbating </w:t>
      </w:r>
      <w:proofErr w:type="spellStart"/>
      <w:r w:rsidR="004A62CA" w:rsidRPr="004A62CA">
        <w:rPr>
          <w:sz w:val="20"/>
          <w:szCs w:val="20"/>
        </w:rPr>
        <w:t>Guillain-Barrè</w:t>
      </w:r>
      <w:proofErr w:type="spellEnd"/>
      <w:r w:rsidR="004A62CA" w:rsidRPr="004A62CA">
        <w:rPr>
          <w:sz w:val="20"/>
          <w:szCs w:val="20"/>
        </w:rPr>
        <w:t xml:space="preserve"> Syndrome Eight Days after Vector-Based COVID-19 Vaccination</w:t>
      </w:r>
      <w:r>
        <w:rPr>
          <w:sz w:val="20"/>
          <w:szCs w:val="20"/>
        </w:rPr>
        <w:t xml:space="preserve">. </w:t>
      </w:r>
      <w:proofErr w:type="spellStart"/>
      <w:r w:rsidR="004A62CA" w:rsidRPr="004A62CA">
        <w:rPr>
          <w:sz w:val="20"/>
          <w:szCs w:val="20"/>
        </w:rPr>
        <w:t>Hundawi</w:t>
      </w:r>
      <w:proofErr w:type="spellEnd"/>
      <w:r w:rsidR="004A62CA" w:rsidRPr="004A62CA">
        <w:rPr>
          <w:sz w:val="20"/>
          <w:szCs w:val="20"/>
        </w:rPr>
        <w:t xml:space="preserve"> Case Report in Infectious Disease 2021</w:t>
      </w:r>
      <w:r>
        <w:rPr>
          <w:sz w:val="20"/>
          <w:szCs w:val="20"/>
        </w:rPr>
        <w:t>:</w:t>
      </w:r>
      <w:r w:rsidR="004A62CA" w:rsidRPr="004A62CA">
        <w:rPr>
          <w:sz w:val="20"/>
          <w:szCs w:val="20"/>
        </w:rPr>
        <w:t xml:space="preserve"> </w:t>
      </w:r>
      <w:r>
        <w:rPr>
          <w:sz w:val="20"/>
          <w:szCs w:val="20"/>
        </w:rPr>
        <w:t>1-</w:t>
      </w:r>
      <w:r w:rsidR="004A62CA" w:rsidRPr="004A62CA">
        <w:rPr>
          <w:sz w:val="20"/>
          <w:szCs w:val="20"/>
        </w:rPr>
        <w:t>3</w:t>
      </w:r>
      <w:r>
        <w:rPr>
          <w:sz w:val="20"/>
          <w:szCs w:val="20"/>
        </w:rPr>
        <w:t>.</w:t>
      </w:r>
    </w:p>
    <w:p w14:paraId="72795E79" w14:textId="77777777" w:rsidR="004A62CA" w:rsidRPr="004A62CA" w:rsidRDefault="004A62CA" w:rsidP="004A62CA">
      <w:pPr>
        <w:spacing w:line="360" w:lineRule="auto"/>
        <w:jc w:val="both"/>
        <w:rPr>
          <w:sz w:val="20"/>
          <w:szCs w:val="20"/>
        </w:rPr>
      </w:pPr>
    </w:p>
    <w:p w14:paraId="352A4AD2" w14:textId="267E43FE" w:rsidR="004A62CA" w:rsidRPr="004A62CA" w:rsidRDefault="00103601" w:rsidP="004A62CA">
      <w:pPr>
        <w:spacing w:line="360" w:lineRule="auto"/>
        <w:jc w:val="both"/>
        <w:rPr>
          <w:sz w:val="20"/>
          <w:szCs w:val="20"/>
        </w:rPr>
      </w:pPr>
      <w:r>
        <w:rPr>
          <w:sz w:val="20"/>
          <w:szCs w:val="20"/>
        </w:rPr>
        <w:t xml:space="preserve">35. </w:t>
      </w:r>
      <w:r w:rsidR="004A62CA" w:rsidRPr="004A62CA">
        <w:rPr>
          <w:sz w:val="20"/>
          <w:szCs w:val="20"/>
        </w:rPr>
        <w:t xml:space="preserve">Christian </w:t>
      </w:r>
      <w:proofErr w:type="spellStart"/>
      <w:r w:rsidR="004A62CA" w:rsidRPr="004A62CA">
        <w:rPr>
          <w:sz w:val="20"/>
          <w:szCs w:val="20"/>
        </w:rPr>
        <w:t>Fokke</w:t>
      </w:r>
      <w:proofErr w:type="spellEnd"/>
      <w:r>
        <w:rPr>
          <w:sz w:val="20"/>
          <w:szCs w:val="20"/>
        </w:rPr>
        <w:t xml:space="preserve"> (2014)</w:t>
      </w:r>
      <w:r w:rsidR="004A62CA" w:rsidRPr="004A62CA">
        <w:rPr>
          <w:sz w:val="20"/>
          <w:szCs w:val="20"/>
        </w:rPr>
        <w:t xml:space="preserve"> Brain</w:t>
      </w:r>
      <w:r>
        <w:rPr>
          <w:sz w:val="20"/>
          <w:szCs w:val="20"/>
        </w:rPr>
        <w:t xml:space="preserve"> </w:t>
      </w:r>
      <w:r w:rsidR="004A62CA" w:rsidRPr="004A62CA">
        <w:rPr>
          <w:sz w:val="20"/>
          <w:szCs w:val="20"/>
        </w:rPr>
        <w:t>137</w:t>
      </w:r>
      <w:r>
        <w:rPr>
          <w:sz w:val="20"/>
          <w:szCs w:val="20"/>
        </w:rPr>
        <w:t xml:space="preserve">: </w:t>
      </w:r>
      <w:r w:rsidR="004A62CA" w:rsidRPr="004A62CA">
        <w:rPr>
          <w:sz w:val="20"/>
          <w:szCs w:val="20"/>
        </w:rPr>
        <w:t>33-43.</w:t>
      </w:r>
    </w:p>
    <w:p w14:paraId="32852A17" w14:textId="77777777" w:rsidR="004A62CA" w:rsidRPr="004A62CA" w:rsidRDefault="004A62CA" w:rsidP="004A62CA">
      <w:pPr>
        <w:spacing w:line="360" w:lineRule="auto"/>
        <w:jc w:val="both"/>
        <w:rPr>
          <w:sz w:val="20"/>
          <w:szCs w:val="20"/>
        </w:rPr>
      </w:pPr>
    </w:p>
    <w:p w14:paraId="39AC78FE" w14:textId="6CB066F7" w:rsidR="004A62CA" w:rsidRPr="004A62CA" w:rsidRDefault="00103601" w:rsidP="004A62CA">
      <w:pPr>
        <w:spacing w:line="360" w:lineRule="auto"/>
        <w:jc w:val="both"/>
        <w:rPr>
          <w:sz w:val="20"/>
          <w:szCs w:val="20"/>
        </w:rPr>
      </w:pPr>
      <w:r>
        <w:rPr>
          <w:sz w:val="20"/>
          <w:szCs w:val="20"/>
        </w:rPr>
        <w:t xml:space="preserve">36. </w:t>
      </w:r>
      <w:r w:rsidR="004A62CA" w:rsidRPr="004A62CA">
        <w:rPr>
          <w:sz w:val="20"/>
          <w:szCs w:val="20"/>
        </w:rPr>
        <w:t xml:space="preserve">Visser LH, van der </w:t>
      </w:r>
      <w:proofErr w:type="spellStart"/>
      <w:r w:rsidR="004A62CA" w:rsidRPr="004A62CA">
        <w:rPr>
          <w:sz w:val="20"/>
          <w:szCs w:val="20"/>
        </w:rPr>
        <w:t>Meché</w:t>
      </w:r>
      <w:proofErr w:type="spellEnd"/>
      <w:r w:rsidR="004A62CA" w:rsidRPr="004A62CA">
        <w:rPr>
          <w:sz w:val="20"/>
          <w:szCs w:val="20"/>
        </w:rPr>
        <w:t xml:space="preserve"> FG, </w:t>
      </w:r>
      <w:proofErr w:type="spellStart"/>
      <w:r w:rsidR="004A62CA" w:rsidRPr="004A62CA">
        <w:rPr>
          <w:sz w:val="20"/>
          <w:szCs w:val="20"/>
        </w:rPr>
        <w:t>Meulstee</w:t>
      </w:r>
      <w:proofErr w:type="spellEnd"/>
      <w:r w:rsidR="004A62CA" w:rsidRPr="004A62CA">
        <w:rPr>
          <w:sz w:val="20"/>
          <w:szCs w:val="20"/>
        </w:rPr>
        <w:t xml:space="preserve"> J, van </w:t>
      </w:r>
      <w:proofErr w:type="spellStart"/>
      <w:r w:rsidR="004A62CA" w:rsidRPr="004A62CA">
        <w:rPr>
          <w:sz w:val="20"/>
          <w:szCs w:val="20"/>
        </w:rPr>
        <w:t>Doorn</w:t>
      </w:r>
      <w:proofErr w:type="spellEnd"/>
      <w:r w:rsidR="004A62CA" w:rsidRPr="004A62CA">
        <w:rPr>
          <w:sz w:val="20"/>
          <w:szCs w:val="20"/>
        </w:rPr>
        <w:t xml:space="preserve"> P</w:t>
      </w:r>
      <w:r>
        <w:rPr>
          <w:sz w:val="20"/>
          <w:szCs w:val="20"/>
        </w:rPr>
        <w:t>A (1998)</w:t>
      </w:r>
      <w:r w:rsidR="004A62CA" w:rsidRPr="004A62CA">
        <w:rPr>
          <w:sz w:val="20"/>
          <w:szCs w:val="20"/>
        </w:rPr>
        <w:t xml:space="preserve"> Risk factors for treatment related clinical fluctuations </w:t>
      </w:r>
      <w:proofErr w:type="gramStart"/>
      <w:r w:rsidR="004A62CA" w:rsidRPr="004A62CA">
        <w:rPr>
          <w:sz w:val="20"/>
          <w:szCs w:val="20"/>
        </w:rPr>
        <w:t>in  Guillain</w:t>
      </w:r>
      <w:proofErr w:type="gramEnd"/>
      <w:r w:rsidR="004A62CA" w:rsidRPr="004A62CA">
        <w:rPr>
          <w:sz w:val="20"/>
          <w:szCs w:val="20"/>
        </w:rPr>
        <w:t xml:space="preserve">-Barré  syndrome.  </w:t>
      </w:r>
      <w:proofErr w:type="gramStart"/>
      <w:r w:rsidR="004A62CA" w:rsidRPr="004A62CA">
        <w:rPr>
          <w:sz w:val="20"/>
          <w:szCs w:val="20"/>
        </w:rPr>
        <w:t>Dutch  Guillain</w:t>
      </w:r>
      <w:proofErr w:type="gramEnd"/>
      <w:r w:rsidR="004A62CA" w:rsidRPr="004A62CA">
        <w:rPr>
          <w:sz w:val="20"/>
          <w:szCs w:val="20"/>
        </w:rPr>
        <w:t xml:space="preserve">-Barré  study  group. </w:t>
      </w:r>
      <w:proofErr w:type="gramStart"/>
      <w:r w:rsidR="004A62CA" w:rsidRPr="004A62CA">
        <w:rPr>
          <w:sz w:val="20"/>
          <w:szCs w:val="20"/>
        </w:rPr>
        <w:t xml:space="preserve">J  </w:t>
      </w:r>
      <w:proofErr w:type="spellStart"/>
      <w:r w:rsidR="004A62CA" w:rsidRPr="004A62CA">
        <w:rPr>
          <w:sz w:val="20"/>
          <w:szCs w:val="20"/>
        </w:rPr>
        <w:t>Neurol</w:t>
      </w:r>
      <w:proofErr w:type="spellEnd"/>
      <w:proofErr w:type="gramEnd"/>
      <w:r w:rsidR="004A62CA" w:rsidRPr="004A62CA">
        <w:rPr>
          <w:sz w:val="20"/>
          <w:szCs w:val="20"/>
        </w:rPr>
        <w:t xml:space="preserve">  </w:t>
      </w:r>
      <w:proofErr w:type="spellStart"/>
      <w:r w:rsidR="004A62CA" w:rsidRPr="004A62CA">
        <w:rPr>
          <w:sz w:val="20"/>
          <w:szCs w:val="20"/>
        </w:rPr>
        <w:t>Neurosurg</w:t>
      </w:r>
      <w:proofErr w:type="spellEnd"/>
      <w:r w:rsidR="004A62CA" w:rsidRPr="004A62CA">
        <w:rPr>
          <w:sz w:val="20"/>
          <w:szCs w:val="20"/>
        </w:rPr>
        <w:t xml:space="preserve">  Psychiatry</w:t>
      </w:r>
      <w:r>
        <w:rPr>
          <w:sz w:val="20"/>
          <w:szCs w:val="20"/>
        </w:rPr>
        <w:t xml:space="preserve"> </w:t>
      </w:r>
      <w:r w:rsidR="004A62CA" w:rsidRPr="004A62CA">
        <w:rPr>
          <w:sz w:val="20"/>
          <w:szCs w:val="20"/>
        </w:rPr>
        <w:t>64:</w:t>
      </w:r>
      <w:r>
        <w:rPr>
          <w:sz w:val="20"/>
          <w:szCs w:val="20"/>
        </w:rPr>
        <w:t xml:space="preserve"> </w:t>
      </w:r>
      <w:r w:rsidR="004A62CA" w:rsidRPr="004A62CA">
        <w:rPr>
          <w:sz w:val="20"/>
          <w:szCs w:val="20"/>
        </w:rPr>
        <w:t>242–4.</w:t>
      </w:r>
    </w:p>
    <w:p w14:paraId="28AA6A70" w14:textId="77777777" w:rsidR="004A62CA" w:rsidRPr="004A62CA" w:rsidRDefault="004A62CA" w:rsidP="004A62CA">
      <w:pPr>
        <w:spacing w:line="360" w:lineRule="auto"/>
        <w:jc w:val="both"/>
        <w:rPr>
          <w:sz w:val="20"/>
          <w:szCs w:val="20"/>
        </w:rPr>
      </w:pPr>
    </w:p>
    <w:p w14:paraId="2CC20D13" w14:textId="728B702C" w:rsidR="004A62CA" w:rsidRPr="004A62CA" w:rsidRDefault="00103601" w:rsidP="004A62CA">
      <w:pPr>
        <w:spacing w:line="360" w:lineRule="auto"/>
        <w:jc w:val="both"/>
        <w:rPr>
          <w:sz w:val="20"/>
          <w:szCs w:val="20"/>
        </w:rPr>
      </w:pPr>
      <w:r>
        <w:rPr>
          <w:sz w:val="20"/>
          <w:szCs w:val="20"/>
        </w:rPr>
        <w:t xml:space="preserve">37. </w:t>
      </w:r>
      <w:proofErr w:type="spellStart"/>
      <w:r w:rsidR="004A62CA" w:rsidRPr="004A62CA">
        <w:rPr>
          <w:sz w:val="20"/>
          <w:szCs w:val="20"/>
        </w:rPr>
        <w:t>Walgaard</w:t>
      </w:r>
      <w:proofErr w:type="spellEnd"/>
      <w:r w:rsidR="004A62CA" w:rsidRPr="004A62CA">
        <w:rPr>
          <w:sz w:val="20"/>
          <w:szCs w:val="20"/>
        </w:rPr>
        <w:t xml:space="preserve"> C, Jacobs BC, </w:t>
      </w:r>
      <w:proofErr w:type="spellStart"/>
      <w:r w:rsidR="004A62CA" w:rsidRPr="004A62CA">
        <w:rPr>
          <w:sz w:val="20"/>
          <w:szCs w:val="20"/>
        </w:rPr>
        <w:t>Lingsma</w:t>
      </w:r>
      <w:proofErr w:type="spellEnd"/>
      <w:r w:rsidR="004A62CA" w:rsidRPr="004A62CA">
        <w:rPr>
          <w:sz w:val="20"/>
          <w:szCs w:val="20"/>
        </w:rPr>
        <w:t xml:space="preserve"> HF, </w:t>
      </w:r>
      <w:proofErr w:type="spellStart"/>
      <w:r w:rsidR="004A62CA" w:rsidRPr="004A62CA">
        <w:rPr>
          <w:sz w:val="20"/>
          <w:szCs w:val="20"/>
        </w:rPr>
        <w:t>Steyerberg</w:t>
      </w:r>
      <w:proofErr w:type="spellEnd"/>
      <w:r w:rsidR="004A62CA" w:rsidRPr="004A62CA">
        <w:rPr>
          <w:sz w:val="20"/>
          <w:szCs w:val="20"/>
        </w:rPr>
        <w:t xml:space="preserve"> EW, van den Berg B, </w:t>
      </w:r>
      <w:r>
        <w:rPr>
          <w:sz w:val="20"/>
          <w:szCs w:val="20"/>
        </w:rPr>
        <w:t>et al. (2021)</w:t>
      </w:r>
      <w:r w:rsidR="004A62CA" w:rsidRPr="004A62CA">
        <w:rPr>
          <w:sz w:val="20"/>
          <w:szCs w:val="20"/>
        </w:rPr>
        <w:t xml:space="preserve"> Study Group Second intravenous immunoglobulin dose in patients with </w:t>
      </w:r>
      <w:proofErr w:type="spellStart"/>
      <w:r w:rsidR="004A62CA" w:rsidRPr="004A62CA">
        <w:rPr>
          <w:sz w:val="20"/>
          <w:szCs w:val="20"/>
        </w:rPr>
        <w:t>Guillain-Barrésyndrome</w:t>
      </w:r>
      <w:proofErr w:type="spellEnd"/>
      <w:r w:rsidR="004A62CA" w:rsidRPr="004A62CA">
        <w:rPr>
          <w:sz w:val="20"/>
          <w:szCs w:val="20"/>
        </w:rPr>
        <w:t xml:space="preserve"> with poor prognosis (SID-GBS): a double-blind, </w:t>
      </w:r>
      <w:proofErr w:type="spellStart"/>
      <w:r w:rsidR="004A62CA" w:rsidRPr="004A62CA">
        <w:rPr>
          <w:sz w:val="20"/>
          <w:szCs w:val="20"/>
        </w:rPr>
        <w:t>randomised</w:t>
      </w:r>
      <w:proofErr w:type="spellEnd"/>
      <w:r w:rsidR="004A62CA" w:rsidRPr="004A62CA">
        <w:rPr>
          <w:sz w:val="20"/>
          <w:szCs w:val="20"/>
        </w:rPr>
        <w:t>, placebo-controlled trial. Lancet Neurol</w:t>
      </w:r>
      <w:r>
        <w:rPr>
          <w:sz w:val="20"/>
          <w:szCs w:val="20"/>
        </w:rPr>
        <w:t xml:space="preserve"> </w:t>
      </w:r>
      <w:r w:rsidR="004A62CA" w:rsidRPr="004A62CA">
        <w:rPr>
          <w:sz w:val="20"/>
          <w:szCs w:val="20"/>
        </w:rPr>
        <w:t>20:</w:t>
      </w:r>
      <w:r>
        <w:rPr>
          <w:sz w:val="20"/>
          <w:szCs w:val="20"/>
        </w:rPr>
        <w:t xml:space="preserve"> </w:t>
      </w:r>
      <w:r w:rsidR="004A62CA" w:rsidRPr="004A62CA">
        <w:rPr>
          <w:sz w:val="20"/>
          <w:szCs w:val="20"/>
        </w:rPr>
        <w:t>275.</w:t>
      </w:r>
    </w:p>
    <w:p w14:paraId="2B7C6932" w14:textId="77777777" w:rsidR="004A62CA" w:rsidRPr="004A62CA" w:rsidRDefault="004A62CA" w:rsidP="004A62CA">
      <w:pPr>
        <w:spacing w:line="360" w:lineRule="auto"/>
        <w:jc w:val="both"/>
        <w:rPr>
          <w:sz w:val="20"/>
          <w:szCs w:val="20"/>
        </w:rPr>
      </w:pPr>
    </w:p>
    <w:p w14:paraId="49785AC5" w14:textId="4E83E6A3" w:rsidR="004A62CA" w:rsidRPr="004A62CA" w:rsidRDefault="00103601" w:rsidP="004A62CA">
      <w:pPr>
        <w:spacing w:line="360" w:lineRule="auto"/>
        <w:jc w:val="both"/>
        <w:rPr>
          <w:sz w:val="20"/>
          <w:szCs w:val="20"/>
        </w:rPr>
      </w:pPr>
      <w:r>
        <w:rPr>
          <w:sz w:val="20"/>
          <w:szCs w:val="20"/>
        </w:rPr>
        <w:t xml:space="preserve">38. </w:t>
      </w:r>
      <w:proofErr w:type="spellStart"/>
      <w:r w:rsidR="004A62CA" w:rsidRPr="004A62CA">
        <w:rPr>
          <w:sz w:val="20"/>
          <w:szCs w:val="20"/>
        </w:rPr>
        <w:t>Hadden</w:t>
      </w:r>
      <w:proofErr w:type="spellEnd"/>
      <w:r w:rsidR="004A62CA" w:rsidRPr="004A62CA">
        <w:rPr>
          <w:sz w:val="20"/>
          <w:szCs w:val="20"/>
        </w:rPr>
        <w:t xml:space="preserve"> RD, </w:t>
      </w:r>
      <w:proofErr w:type="spellStart"/>
      <w:r w:rsidR="004A62CA" w:rsidRPr="004A62CA">
        <w:rPr>
          <w:sz w:val="20"/>
          <w:szCs w:val="20"/>
        </w:rPr>
        <w:t>Cornblath</w:t>
      </w:r>
      <w:proofErr w:type="spellEnd"/>
      <w:r w:rsidR="004A62CA" w:rsidRPr="004A62CA">
        <w:rPr>
          <w:sz w:val="20"/>
          <w:szCs w:val="20"/>
        </w:rPr>
        <w:t xml:space="preserve"> DR, Hughes RAC, </w:t>
      </w:r>
      <w:proofErr w:type="spellStart"/>
      <w:r w:rsidR="004A62CA" w:rsidRPr="004A62CA">
        <w:rPr>
          <w:sz w:val="20"/>
          <w:szCs w:val="20"/>
        </w:rPr>
        <w:t>Zielasek</w:t>
      </w:r>
      <w:proofErr w:type="spellEnd"/>
      <w:r w:rsidR="004A62CA" w:rsidRPr="004A62CA">
        <w:rPr>
          <w:sz w:val="20"/>
          <w:szCs w:val="20"/>
        </w:rPr>
        <w:t xml:space="preserve"> J, </w:t>
      </w:r>
      <w:proofErr w:type="spellStart"/>
      <w:r w:rsidR="004A62CA" w:rsidRPr="004A62CA">
        <w:rPr>
          <w:sz w:val="20"/>
          <w:szCs w:val="20"/>
        </w:rPr>
        <w:t>Hartung</w:t>
      </w:r>
      <w:proofErr w:type="spellEnd"/>
      <w:r w:rsidR="004A62CA" w:rsidRPr="004A62CA">
        <w:rPr>
          <w:sz w:val="20"/>
          <w:szCs w:val="20"/>
        </w:rPr>
        <w:t xml:space="preserve"> HP, et al.</w:t>
      </w:r>
      <w:r>
        <w:rPr>
          <w:sz w:val="20"/>
          <w:szCs w:val="20"/>
        </w:rPr>
        <w:t xml:space="preserve"> (1998) </w:t>
      </w:r>
      <w:r w:rsidR="004A62CA" w:rsidRPr="004A62CA">
        <w:rPr>
          <w:sz w:val="20"/>
          <w:szCs w:val="20"/>
        </w:rPr>
        <w:t>Electrophysiological classification of Guillain-Barré syndrome: clinical associations and outcome. Ann Neurol 44:</w:t>
      </w:r>
      <w:r>
        <w:rPr>
          <w:sz w:val="20"/>
          <w:szCs w:val="20"/>
        </w:rPr>
        <w:t xml:space="preserve"> </w:t>
      </w:r>
      <w:r w:rsidR="004A62CA" w:rsidRPr="004A62CA">
        <w:rPr>
          <w:sz w:val="20"/>
          <w:szCs w:val="20"/>
        </w:rPr>
        <w:t>780-8.</w:t>
      </w:r>
    </w:p>
    <w:p w14:paraId="293F1F6B" w14:textId="77777777" w:rsidR="004A62CA" w:rsidRPr="004A62CA" w:rsidRDefault="004A62CA" w:rsidP="004A62CA">
      <w:pPr>
        <w:spacing w:line="360" w:lineRule="auto"/>
        <w:jc w:val="both"/>
        <w:rPr>
          <w:sz w:val="20"/>
          <w:szCs w:val="20"/>
        </w:rPr>
      </w:pPr>
    </w:p>
    <w:p w14:paraId="75A51C44" w14:textId="1CF28602" w:rsidR="004A62CA" w:rsidRPr="004A62CA" w:rsidRDefault="00103601" w:rsidP="004A62CA">
      <w:pPr>
        <w:spacing w:line="360" w:lineRule="auto"/>
        <w:jc w:val="both"/>
        <w:rPr>
          <w:sz w:val="20"/>
          <w:szCs w:val="20"/>
        </w:rPr>
      </w:pPr>
      <w:r>
        <w:rPr>
          <w:sz w:val="20"/>
          <w:szCs w:val="20"/>
        </w:rPr>
        <w:t xml:space="preserve">39. </w:t>
      </w:r>
      <w:r w:rsidR="004A62CA" w:rsidRPr="004A62CA">
        <w:rPr>
          <w:sz w:val="20"/>
          <w:szCs w:val="20"/>
        </w:rPr>
        <w:t xml:space="preserve">Asbury AK, </w:t>
      </w:r>
      <w:proofErr w:type="spellStart"/>
      <w:r w:rsidR="004A62CA" w:rsidRPr="004A62CA">
        <w:rPr>
          <w:sz w:val="20"/>
          <w:szCs w:val="20"/>
        </w:rPr>
        <w:t>Arnason</w:t>
      </w:r>
      <w:proofErr w:type="spellEnd"/>
      <w:r w:rsidR="004A62CA" w:rsidRPr="004A62CA">
        <w:rPr>
          <w:sz w:val="20"/>
          <w:szCs w:val="20"/>
        </w:rPr>
        <w:t xml:space="preserve"> BGW, Karp HR</w:t>
      </w:r>
      <w:r>
        <w:rPr>
          <w:sz w:val="20"/>
          <w:szCs w:val="20"/>
        </w:rPr>
        <w:t>,</w:t>
      </w:r>
      <w:r w:rsidR="004A62CA" w:rsidRPr="004A62CA">
        <w:rPr>
          <w:sz w:val="20"/>
          <w:szCs w:val="20"/>
        </w:rPr>
        <w:t xml:space="preserve"> McFarlin DE </w:t>
      </w:r>
      <w:r w:rsidR="00CB08FC">
        <w:rPr>
          <w:sz w:val="20"/>
          <w:szCs w:val="20"/>
        </w:rPr>
        <w:t xml:space="preserve">(1978) </w:t>
      </w:r>
      <w:r w:rsidR="004A62CA" w:rsidRPr="004A62CA">
        <w:rPr>
          <w:sz w:val="20"/>
          <w:szCs w:val="20"/>
        </w:rPr>
        <w:t xml:space="preserve">Criteria for diagnosis of </w:t>
      </w:r>
      <w:proofErr w:type="spellStart"/>
      <w:r w:rsidR="004A62CA" w:rsidRPr="004A62CA">
        <w:rPr>
          <w:sz w:val="20"/>
          <w:szCs w:val="20"/>
        </w:rPr>
        <w:t>Guillain</w:t>
      </w:r>
      <w:proofErr w:type="spellEnd"/>
      <w:r w:rsidR="004A62CA" w:rsidRPr="004A62CA">
        <w:rPr>
          <w:sz w:val="20"/>
          <w:szCs w:val="20"/>
        </w:rPr>
        <w:t xml:space="preserve"> </w:t>
      </w:r>
      <w:proofErr w:type="spellStart"/>
      <w:r w:rsidR="004A62CA" w:rsidRPr="004A62CA">
        <w:rPr>
          <w:sz w:val="20"/>
          <w:szCs w:val="20"/>
        </w:rPr>
        <w:t>Barrè</w:t>
      </w:r>
      <w:proofErr w:type="spellEnd"/>
      <w:r w:rsidR="004A62CA" w:rsidRPr="004A62CA">
        <w:rPr>
          <w:sz w:val="20"/>
          <w:szCs w:val="20"/>
        </w:rPr>
        <w:t xml:space="preserve"> syndrome. Ann Neurol</w:t>
      </w:r>
      <w:r w:rsidR="00CB08FC">
        <w:rPr>
          <w:sz w:val="20"/>
          <w:szCs w:val="20"/>
        </w:rPr>
        <w:t xml:space="preserve"> </w:t>
      </w:r>
      <w:r w:rsidR="004A62CA" w:rsidRPr="004A62CA">
        <w:rPr>
          <w:sz w:val="20"/>
          <w:szCs w:val="20"/>
        </w:rPr>
        <w:t>3</w:t>
      </w:r>
      <w:r w:rsidR="00CB08FC">
        <w:rPr>
          <w:sz w:val="20"/>
          <w:szCs w:val="20"/>
        </w:rPr>
        <w:t>:</w:t>
      </w:r>
      <w:r w:rsidR="004A62CA" w:rsidRPr="004A62CA">
        <w:rPr>
          <w:sz w:val="20"/>
          <w:szCs w:val="20"/>
        </w:rPr>
        <w:t xml:space="preserve"> 565-6</w:t>
      </w:r>
      <w:r w:rsidR="00CB08FC">
        <w:rPr>
          <w:sz w:val="20"/>
          <w:szCs w:val="20"/>
        </w:rPr>
        <w:t>.</w:t>
      </w:r>
    </w:p>
    <w:p w14:paraId="5A3A5915" w14:textId="77777777" w:rsidR="004A62CA" w:rsidRPr="004A62CA" w:rsidRDefault="004A62CA" w:rsidP="004A62CA">
      <w:pPr>
        <w:spacing w:line="360" w:lineRule="auto"/>
        <w:jc w:val="both"/>
        <w:rPr>
          <w:sz w:val="20"/>
          <w:szCs w:val="20"/>
        </w:rPr>
      </w:pPr>
    </w:p>
    <w:p w14:paraId="0B78688D" w14:textId="3BDACB29" w:rsidR="004A62CA" w:rsidRPr="004A62CA" w:rsidRDefault="00CB08FC" w:rsidP="004A62CA">
      <w:pPr>
        <w:spacing w:line="360" w:lineRule="auto"/>
        <w:jc w:val="both"/>
        <w:rPr>
          <w:sz w:val="20"/>
          <w:szCs w:val="20"/>
        </w:rPr>
      </w:pPr>
      <w:r>
        <w:rPr>
          <w:sz w:val="20"/>
          <w:szCs w:val="20"/>
        </w:rPr>
        <w:t xml:space="preserve">40. </w:t>
      </w:r>
      <w:r w:rsidR="004A62CA" w:rsidRPr="004A62CA">
        <w:rPr>
          <w:sz w:val="20"/>
          <w:szCs w:val="20"/>
        </w:rPr>
        <w:t>Asbury AK</w:t>
      </w:r>
      <w:r>
        <w:rPr>
          <w:sz w:val="20"/>
          <w:szCs w:val="20"/>
        </w:rPr>
        <w:t>,</w:t>
      </w:r>
      <w:r w:rsidR="004A62CA" w:rsidRPr="004A62CA">
        <w:rPr>
          <w:sz w:val="20"/>
          <w:szCs w:val="20"/>
        </w:rPr>
        <w:t xml:space="preserve"> </w:t>
      </w:r>
      <w:proofErr w:type="spellStart"/>
      <w:r w:rsidR="004A62CA" w:rsidRPr="004A62CA">
        <w:rPr>
          <w:sz w:val="20"/>
          <w:szCs w:val="20"/>
        </w:rPr>
        <w:t>Cornblath</w:t>
      </w:r>
      <w:proofErr w:type="spellEnd"/>
      <w:r w:rsidR="004A62CA" w:rsidRPr="004A62CA">
        <w:rPr>
          <w:sz w:val="20"/>
          <w:szCs w:val="20"/>
        </w:rPr>
        <w:t xml:space="preserve"> DR</w:t>
      </w:r>
      <w:r>
        <w:rPr>
          <w:sz w:val="20"/>
          <w:szCs w:val="20"/>
        </w:rPr>
        <w:t xml:space="preserve"> (1990)</w:t>
      </w:r>
      <w:r w:rsidR="004A62CA" w:rsidRPr="004A62CA">
        <w:rPr>
          <w:sz w:val="20"/>
          <w:szCs w:val="20"/>
        </w:rPr>
        <w:t xml:space="preserve"> </w:t>
      </w:r>
      <w:proofErr w:type="spellStart"/>
      <w:r w:rsidR="004A62CA" w:rsidRPr="004A62CA">
        <w:rPr>
          <w:sz w:val="20"/>
          <w:szCs w:val="20"/>
        </w:rPr>
        <w:t>Assesment</w:t>
      </w:r>
      <w:proofErr w:type="spellEnd"/>
      <w:r w:rsidR="004A62CA" w:rsidRPr="004A62CA">
        <w:rPr>
          <w:sz w:val="20"/>
          <w:szCs w:val="20"/>
        </w:rPr>
        <w:t xml:space="preserve"> of current diagnostic criteria for </w:t>
      </w:r>
      <w:proofErr w:type="spellStart"/>
      <w:r w:rsidR="004A62CA" w:rsidRPr="004A62CA">
        <w:rPr>
          <w:sz w:val="20"/>
          <w:szCs w:val="20"/>
        </w:rPr>
        <w:t>guillain</w:t>
      </w:r>
      <w:proofErr w:type="spellEnd"/>
      <w:r w:rsidR="004A62CA" w:rsidRPr="004A62CA">
        <w:rPr>
          <w:sz w:val="20"/>
          <w:szCs w:val="20"/>
        </w:rPr>
        <w:t xml:space="preserve"> </w:t>
      </w:r>
      <w:proofErr w:type="spellStart"/>
      <w:r w:rsidR="004A62CA" w:rsidRPr="004A62CA">
        <w:rPr>
          <w:sz w:val="20"/>
          <w:szCs w:val="20"/>
        </w:rPr>
        <w:t>Barrè</w:t>
      </w:r>
      <w:proofErr w:type="spellEnd"/>
      <w:r w:rsidR="004A62CA" w:rsidRPr="004A62CA">
        <w:rPr>
          <w:sz w:val="20"/>
          <w:szCs w:val="20"/>
        </w:rPr>
        <w:t xml:space="preserve"> syndrome Ann. Neurol</w:t>
      </w:r>
      <w:r>
        <w:rPr>
          <w:sz w:val="20"/>
          <w:szCs w:val="20"/>
        </w:rPr>
        <w:t xml:space="preserve"> </w:t>
      </w:r>
      <w:r w:rsidR="004A62CA" w:rsidRPr="004A62CA">
        <w:rPr>
          <w:sz w:val="20"/>
          <w:szCs w:val="20"/>
        </w:rPr>
        <w:t>27</w:t>
      </w:r>
      <w:r>
        <w:rPr>
          <w:sz w:val="20"/>
          <w:szCs w:val="20"/>
        </w:rPr>
        <w:t xml:space="preserve">: </w:t>
      </w:r>
      <w:r w:rsidR="004A62CA" w:rsidRPr="004A62CA">
        <w:rPr>
          <w:sz w:val="20"/>
          <w:szCs w:val="20"/>
        </w:rPr>
        <w:t>S21-S24.</w:t>
      </w:r>
    </w:p>
    <w:p w14:paraId="254FAE9C" w14:textId="77777777" w:rsidR="004A62CA" w:rsidRPr="004A62CA" w:rsidRDefault="004A62CA" w:rsidP="004A62CA">
      <w:pPr>
        <w:spacing w:line="360" w:lineRule="auto"/>
        <w:jc w:val="both"/>
        <w:rPr>
          <w:sz w:val="20"/>
          <w:szCs w:val="20"/>
        </w:rPr>
      </w:pPr>
    </w:p>
    <w:p w14:paraId="7CEA51C9" w14:textId="617A5229" w:rsidR="004A62CA" w:rsidRPr="004A62CA" w:rsidRDefault="00CB08FC" w:rsidP="004A62CA">
      <w:pPr>
        <w:spacing w:line="360" w:lineRule="auto"/>
        <w:jc w:val="both"/>
        <w:rPr>
          <w:sz w:val="20"/>
          <w:szCs w:val="20"/>
        </w:rPr>
      </w:pPr>
      <w:r>
        <w:rPr>
          <w:sz w:val="20"/>
          <w:szCs w:val="20"/>
        </w:rPr>
        <w:t xml:space="preserve">41. </w:t>
      </w:r>
      <w:r w:rsidR="004A62CA" w:rsidRPr="004A62CA">
        <w:rPr>
          <w:sz w:val="20"/>
          <w:szCs w:val="20"/>
        </w:rPr>
        <w:t>Willison HJ, Jacobs BC</w:t>
      </w:r>
      <w:r>
        <w:rPr>
          <w:sz w:val="20"/>
          <w:szCs w:val="20"/>
        </w:rPr>
        <w:t>,</w:t>
      </w:r>
      <w:r w:rsidR="004A62CA" w:rsidRPr="004A62CA">
        <w:rPr>
          <w:sz w:val="20"/>
          <w:szCs w:val="20"/>
        </w:rPr>
        <w:t xml:space="preserve"> Van </w:t>
      </w:r>
      <w:proofErr w:type="spellStart"/>
      <w:r w:rsidR="004A62CA" w:rsidRPr="004A62CA">
        <w:rPr>
          <w:sz w:val="20"/>
          <w:szCs w:val="20"/>
        </w:rPr>
        <w:t>Doorn</w:t>
      </w:r>
      <w:proofErr w:type="spellEnd"/>
      <w:r w:rsidR="004A62CA" w:rsidRPr="004A62CA">
        <w:rPr>
          <w:sz w:val="20"/>
          <w:szCs w:val="20"/>
        </w:rPr>
        <w:t xml:space="preserve"> PA</w:t>
      </w:r>
      <w:r>
        <w:rPr>
          <w:sz w:val="20"/>
          <w:szCs w:val="20"/>
        </w:rPr>
        <w:t xml:space="preserve"> (2016)</w:t>
      </w:r>
      <w:r w:rsidR="004A62CA" w:rsidRPr="004A62CA">
        <w:rPr>
          <w:sz w:val="20"/>
          <w:szCs w:val="20"/>
        </w:rPr>
        <w:t xml:space="preserve"> </w:t>
      </w:r>
      <w:proofErr w:type="spellStart"/>
      <w:r w:rsidR="004A62CA" w:rsidRPr="004A62CA">
        <w:rPr>
          <w:sz w:val="20"/>
          <w:szCs w:val="20"/>
        </w:rPr>
        <w:t>Guillain</w:t>
      </w:r>
      <w:proofErr w:type="spellEnd"/>
      <w:r w:rsidR="004A62CA" w:rsidRPr="004A62CA">
        <w:rPr>
          <w:sz w:val="20"/>
          <w:szCs w:val="20"/>
        </w:rPr>
        <w:t xml:space="preserve"> </w:t>
      </w:r>
      <w:proofErr w:type="spellStart"/>
      <w:r w:rsidR="004A62CA" w:rsidRPr="004A62CA">
        <w:rPr>
          <w:sz w:val="20"/>
          <w:szCs w:val="20"/>
        </w:rPr>
        <w:t>Barrè</w:t>
      </w:r>
      <w:proofErr w:type="spellEnd"/>
      <w:r w:rsidR="004A62CA" w:rsidRPr="004A62CA">
        <w:rPr>
          <w:sz w:val="20"/>
          <w:szCs w:val="20"/>
        </w:rPr>
        <w:t xml:space="preserve"> </w:t>
      </w:r>
      <w:proofErr w:type="spellStart"/>
      <w:r w:rsidR="004A62CA" w:rsidRPr="004A62CA">
        <w:rPr>
          <w:sz w:val="20"/>
          <w:szCs w:val="20"/>
        </w:rPr>
        <w:t>sindrome</w:t>
      </w:r>
      <w:proofErr w:type="spellEnd"/>
      <w:r w:rsidR="004A62CA" w:rsidRPr="004A62CA">
        <w:rPr>
          <w:sz w:val="20"/>
          <w:szCs w:val="20"/>
        </w:rPr>
        <w:t>. Lancet 388</w:t>
      </w:r>
      <w:r>
        <w:rPr>
          <w:sz w:val="20"/>
          <w:szCs w:val="20"/>
        </w:rPr>
        <w:t>:</w:t>
      </w:r>
      <w:r w:rsidR="004A62CA" w:rsidRPr="004A62CA">
        <w:rPr>
          <w:sz w:val="20"/>
          <w:szCs w:val="20"/>
        </w:rPr>
        <w:t xml:space="preserve"> 717-27</w:t>
      </w:r>
      <w:r>
        <w:rPr>
          <w:sz w:val="20"/>
          <w:szCs w:val="20"/>
        </w:rPr>
        <w:t>.</w:t>
      </w:r>
    </w:p>
    <w:p w14:paraId="44509849" w14:textId="77777777" w:rsidR="004A62CA" w:rsidRPr="004A62CA" w:rsidRDefault="004A62CA" w:rsidP="004A62CA">
      <w:pPr>
        <w:spacing w:line="360" w:lineRule="auto"/>
        <w:jc w:val="both"/>
        <w:rPr>
          <w:sz w:val="20"/>
          <w:szCs w:val="20"/>
        </w:rPr>
      </w:pPr>
    </w:p>
    <w:p w14:paraId="62EF038E" w14:textId="26565EB6" w:rsidR="004A62CA" w:rsidRPr="004A62CA" w:rsidRDefault="00CB08FC" w:rsidP="004A62CA">
      <w:pPr>
        <w:spacing w:line="360" w:lineRule="auto"/>
        <w:jc w:val="both"/>
        <w:rPr>
          <w:sz w:val="20"/>
          <w:szCs w:val="20"/>
        </w:rPr>
      </w:pPr>
      <w:r>
        <w:rPr>
          <w:sz w:val="20"/>
          <w:szCs w:val="20"/>
        </w:rPr>
        <w:t xml:space="preserve">42. </w:t>
      </w:r>
      <w:proofErr w:type="spellStart"/>
      <w:r w:rsidR="004A62CA" w:rsidRPr="004A62CA">
        <w:rPr>
          <w:sz w:val="20"/>
          <w:szCs w:val="20"/>
        </w:rPr>
        <w:t>Subhadeep</w:t>
      </w:r>
      <w:proofErr w:type="spellEnd"/>
      <w:r w:rsidR="004A62CA" w:rsidRPr="004A62CA">
        <w:rPr>
          <w:sz w:val="20"/>
          <w:szCs w:val="20"/>
        </w:rPr>
        <w:t xml:space="preserve"> Gupta, </w:t>
      </w:r>
      <w:proofErr w:type="spellStart"/>
      <w:r w:rsidR="004A62CA" w:rsidRPr="004A62CA">
        <w:rPr>
          <w:sz w:val="20"/>
          <w:szCs w:val="20"/>
        </w:rPr>
        <w:t>Atanu</w:t>
      </w:r>
      <w:proofErr w:type="spellEnd"/>
      <w:r w:rsidR="004A62CA" w:rsidRPr="004A62CA">
        <w:rPr>
          <w:sz w:val="20"/>
          <w:szCs w:val="20"/>
        </w:rPr>
        <w:t xml:space="preserve"> Chandra, </w:t>
      </w:r>
      <w:proofErr w:type="spellStart"/>
      <w:r w:rsidR="004A62CA" w:rsidRPr="004A62CA">
        <w:rPr>
          <w:sz w:val="20"/>
          <w:szCs w:val="20"/>
        </w:rPr>
        <w:t>Biman</w:t>
      </w:r>
      <w:proofErr w:type="spellEnd"/>
      <w:r w:rsidR="004A62CA" w:rsidRPr="004A62CA">
        <w:rPr>
          <w:sz w:val="20"/>
          <w:szCs w:val="20"/>
        </w:rPr>
        <w:t xml:space="preserve"> </w:t>
      </w:r>
      <w:proofErr w:type="spellStart"/>
      <w:r w:rsidR="004A62CA" w:rsidRPr="004A62CA">
        <w:rPr>
          <w:sz w:val="20"/>
          <w:szCs w:val="20"/>
        </w:rPr>
        <w:t>Kanti</w:t>
      </w:r>
      <w:proofErr w:type="spellEnd"/>
      <w:r w:rsidR="004A62CA" w:rsidRPr="004A62CA">
        <w:rPr>
          <w:sz w:val="20"/>
          <w:szCs w:val="20"/>
        </w:rPr>
        <w:t xml:space="preserve"> Ray, </w:t>
      </w:r>
      <w:proofErr w:type="spellStart"/>
      <w:r w:rsidR="004A62CA" w:rsidRPr="004A62CA">
        <w:rPr>
          <w:sz w:val="20"/>
          <w:szCs w:val="20"/>
        </w:rPr>
        <w:t>Alak</w:t>
      </w:r>
      <w:proofErr w:type="spellEnd"/>
      <w:r w:rsidR="004A62CA" w:rsidRPr="004A62CA">
        <w:rPr>
          <w:sz w:val="20"/>
          <w:szCs w:val="20"/>
        </w:rPr>
        <w:t xml:space="preserve"> </w:t>
      </w:r>
      <w:proofErr w:type="spellStart"/>
      <w:r w:rsidR="004A62CA" w:rsidRPr="004A62CA">
        <w:rPr>
          <w:sz w:val="20"/>
          <w:szCs w:val="20"/>
        </w:rPr>
        <w:t>Pandit</w:t>
      </w:r>
      <w:proofErr w:type="spellEnd"/>
      <w:r>
        <w:rPr>
          <w:sz w:val="20"/>
          <w:szCs w:val="20"/>
        </w:rPr>
        <w:t xml:space="preserve"> (2020)</w:t>
      </w:r>
      <w:r w:rsidR="004A62CA" w:rsidRPr="004A62CA">
        <w:rPr>
          <w:sz w:val="20"/>
          <w:szCs w:val="20"/>
        </w:rPr>
        <w:t xml:space="preserve"> Treatment related fluctuation and response to </w:t>
      </w:r>
      <w:r w:rsidR="004A62CA" w:rsidRPr="004A62CA">
        <w:rPr>
          <w:sz w:val="20"/>
          <w:szCs w:val="20"/>
        </w:rPr>
        <w:lastRenderedPageBreak/>
        <w:t xml:space="preserve">intravenous immunoglobulin therapy in post COVID-19 Guillain-Barre syndrome. Case Reports Diabetes </w:t>
      </w:r>
      <w:proofErr w:type="spellStart"/>
      <w:r w:rsidR="004A62CA" w:rsidRPr="004A62CA">
        <w:rPr>
          <w:sz w:val="20"/>
          <w:szCs w:val="20"/>
        </w:rPr>
        <w:t>Metab</w:t>
      </w:r>
      <w:proofErr w:type="spellEnd"/>
      <w:r w:rsidR="004A62CA" w:rsidRPr="004A62CA">
        <w:rPr>
          <w:sz w:val="20"/>
          <w:szCs w:val="20"/>
        </w:rPr>
        <w:t xml:space="preserve"> </w:t>
      </w:r>
      <w:proofErr w:type="spellStart"/>
      <w:r w:rsidR="004A62CA" w:rsidRPr="004A62CA">
        <w:rPr>
          <w:sz w:val="20"/>
          <w:szCs w:val="20"/>
        </w:rPr>
        <w:t>Syndr</w:t>
      </w:r>
      <w:proofErr w:type="spellEnd"/>
      <w:r>
        <w:rPr>
          <w:sz w:val="20"/>
          <w:szCs w:val="20"/>
        </w:rPr>
        <w:t xml:space="preserve"> </w:t>
      </w:r>
      <w:r w:rsidR="004A62CA" w:rsidRPr="004A62CA">
        <w:rPr>
          <w:sz w:val="20"/>
          <w:szCs w:val="20"/>
        </w:rPr>
        <w:t>15:</w:t>
      </w:r>
      <w:r>
        <w:rPr>
          <w:sz w:val="20"/>
          <w:szCs w:val="20"/>
        </w:rPr>
        <w:t xml:space="preserve"> </w:t>
      </w:r>
      <w:r w:rsidR="004A62CA" w:rsidRPr="004A62CA">
        <w:rPr>
          <w:sz w:val="20"/>
          <w:szCs w:val="20"/>
        </w:rPr>
        <w:t>102246.</w:t>
      </w:r>
    </w:p>
    <w:p w14:paraId="06685307" w14:textId="77777777" w:rsidR="004A62CA" w:rsidRPr="004A62CA" w:rsidRDefault="004A62CA" w:rsidP="004A62CA">
      <w:pPr>
        <w:spacing w:line="360" w:lineRule="auto"/>
        <w:jc w:val="both"/>
        <w:rPr>
          <w:sz w:val="20"/>
          <w:szCs w:val="20"/>
        </w:rPr>
      </w:pPr>
    </w:p>
    <w:p w14:paraId="6B45F15B" w14:textId="56CCA255" w:rsidR="004A62CA" w:rsidRPr="004A62CA" w:rsidRDefault="00CB08FC" w:rsidP="004A62CA">
      <w:pPr>
        <w:spacing w:line="360" w:lineRule="auto"/>
        <w:jc w:val="both"/>
        <w:rPr>
          <w:sz w:val="20"/>
          <w:szCs w:val="20"/>
        </w:rPr>
      </w:pPr>
      <w:r>
        <w:rPr>
          <w:sz w:val="20"/>
          <w:szCs w:val="20"/>
        </w:rPr>
        <w:t xml:space="preserve">43. </w:t>
      </w:r>
      <w:r w:rsidR="00AE0A1B">
        <w:rPr>
          <w:sz w:val="20"/>
          <w:szCs w:val="20"/>
        </w:rPr>
        <w:t>FDA COVID-19 Response</w:t>
      </w:r>
      <w:r w:rsidR="004A62CA" w:rsidRPr="004A62CA">
        <w:rPr>
          <w:sz w:val="20"/>
          <w:szCs w:val="20"/>
        </w:rPr>
        <w:t xml:space="preserve"> </w:t>
      </w:r>
      <w:r w:rsidR="00AE0A1B">
        <w:rPr>
          <w:sz w:val="20"/>
          <w:szCs w:val="20"/>
        </w:rPr>
        <w:t>(2021).</w:t>
      </w:r>
    </w:p>
    <w:p w14:paraId="75492AA3" w14:textId="77777777" w:rsidR="004A62CA" w:rsidRPr="004A62CA" w:rsidRDefault="004A62CA" w:rsidP="004A62CA">
      <w:pPr>
        <w:spacing w:line="360" w:lineRule="auto"/>
        <w:jc w:val="both"/>
        <w:rPr>
          <w:sz w:val="20"/>
          <w:szCs w:val="20"/>
        </w:rPr>
      </w:pPr>
    </w:p>
    <w:p w14:paraId="12F5B5B7" w14:textId="6A5A2C46" w:rsidR="004A62CA" w:rsidRPr="004A62CA" w:rsidRDefault="00AE0A1B" w:rsidP="004A62CA">
      <w:pPr>
        <w:spacing w:line="360" w:lineRule="auto"/>
        <w:jc w:val="both"/>
        <w:rPr>
          <w:sz w:val="20"/>
          <w:szCs w:val="20"/>
        </w:rPr>
      </w:pPr>
      <w:r>
        <w:rPr>
          <w:sz w:val="20"/>
          <w:szCs w:val="20"/>
        </w:rPr>
        <w:t xml:space="preserve">44. </w:t>
      </w:r>
      <w:r w:rsidRPr="00AE0A1B">
        <w:rPr>
          <w:sz w:val="20"/>
          <w:szCs w:val="20"/>
        </w:rPr>
        <w:t>European Medicines Agency</w:t>
      </w:r>
      <w:r>
        <w:rPr>
          <w:sz w:val="20"/>
          <w:szCs w:val="20"/>
        </w:rPr>
        <w:t xml:space="preserve"> (2021).</w:t>
      </w:r>
    </w:p>
    <w:p w14:paraId="18816DF3" w14:textId="1B4A8E0A" w:rsidR="00940546" w:rsidRPr="00C3144A" w:rsidRDefault="00AE0A1B" w:rsidP="00C3144A">
      <w:pPr>
        <w:spacing w:line="360" w:lineRule="auto"/>
        <w:jc w:val="both"/>
        <w:rPr>
          <w:sz w:val="20"/>
          <w:szCs w:val="20"/>
        </w:rPr>
      </w:pPr>
      <w:r>
        <w:rPr>
          <w:sz w:val="20"/>
          <w:szCs w:val="20"/>
        </w:rPr>
        <w:t xml:space="preserve">45. </w:t>
      </w:r>
      <w:proofErr w:type="spellStart"/>
      <w:r w:rsidR="004A62CA" w:rsidRPr="004A62CA">
        <w:rPr>
          <w:sz w:val="20"/>
          <w:szCs w:val="20"/>
        </w:rPr>
        <w:t>Jospef</w:t>
      </w:r>
      <w:proofErr w:type="spellEnd"/>
      <w:r w:rsidR="004A62CA" w:rsidRPr="004A62CA">
        <w:rPr>
          <w:sz w:val="20"/>
          <w:szCs w:val="20"/>
        </w:rPr>
        <w:t xml:space="preserve"> </w:t>
      </w:r>
      <w:proofErr w:type="spellStart"/>
      <w:r w:rsidR="004A62CA" w:rsidRPr="004A62CA">
        <w:rPr>
          <w:sz w:val="20"/>
          <w:szCs w:val="20"/>
        </w:rPr>
        <w:t>Finsterer</w:t>
      </w:r>
      <w:proofErr w:type="spellEnd"/>
      <w:r>
        <w:rPr>
          <w:sz w:val="20"/>
          <w:szCs w:val="20"/>
        </w:rPr>
        <w:t xml:space="preserve"> (2021) </w:t>
      </w:r>
      <w:r w:rsidR="004A62CA" w:rsidRPr="004A62CA">
        <w:rPr>
          <w:sz w:val="20"/>
          <w:szCs w:val="20"/>
        </w:rPr>
        <w:t xml:space="preserve">Exacerbating </w:t>
      </w:r>
      <w:proofErr w:type="spellStart"/>
      <w:r w:rsidR="004A62CA" w:rsidRPr="004A62CA">
        <w:rPr>
          <w:sz w:val="20"/>
          <w:szCs w:val="20"/>
        </w:rPr>
        <w:t>Guillain-Barrè</w:t>
      </w:r>
      <w:proofErr w:type="spellEnd"/>
      <w:r w:rsidR="004A62CA" w:rsidRPr="004A62CA">
        <w:rPr>
          <w:sz w:val="20"/>
          <w:szCs w:val="20"/>
        </w:rPr>
        <w:t xml:space="preserve"> Syndrome Eight Days after Vector-Based COVID-19 Vaccination</w:t>
      </w:r>
      <w:r>
        <w:rPr>
          <w:sz w:val="20"/>
          <w:szCs w:val="20"/>
        </w:rPr>
        <w:t xml:space="preserve">. </w:t>
      </w:r>
      <w:proofErr w:type="spellStart"/>
      <w:r w:rsidR="004A62CA" w:rsidRPr="004A62CA">
        <w:rPr>
          <w:sz w:val="20"/>
          <w:szCs w:val="20"/>
        </w:rPr>
        <w:t>Hundawi</w:t>
      </w:r>
      <w:proofErr w:type="spellEnd"/>
      <w:r w:rsidR="004A62CA" w:rsidRPr="004A62CA">
        <w:rPr>
          <w:sz w:val="20"/>
          <w:szCs w:val="20"/>
        </w:rPr>
        <w:t xml:space="preserve"> Case</w:t>
      </w:r>
      <w:bookmarkStart w:id="6" w:name="_GoBack"/>
      <w:bookmarkEnd w:id="6"/>
      <w:r w:rsidR="004A62CA" w:rsidRPr="004A62CA">
        <w:rPr>
          <w:sz w:val="20"/>
          <w:szCs w:val="20"/>
        </w:rPr>
        <w:t xml:space="preserve"> Report in Infectious Disease 2021</w:t>
      </w:r>
      <w:r>
        <w:rPr>
          <w:sz w:val="20"/>
          <w:szCs w:val="20"/>
        </w:rPr>
        <w:t>:</w:t>
      </w:r>
      <w:r w:rsidR="004A62CA" w:rsidRPr="004A62CA">
        <w:rPr>
          <w:sz w:val="20"/>
          <w:szCs w:val="20"/>
        </w:rPr>
        <w:t xml:space="preserve"> 3</w:t>
      </w:r>
      <w:r>
        <w:rPr>
          <w:sz w:val="20"/>
          <w:szCs w:val="20"/>
        </w:rPr>
        <w:t>.</w:t>
      </w:r>
    </w:p>
    <w:sectPr w:rsidR="00940546" w:rsidRPr="00C3144A">
      <w:pgSz w:w="12240" w:h="15840"/>
      <w:pgMar w:top="150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A60F4"/>
    <w:multiLevelType w:val="hybridMultilevel"/>
    <w:tmpl w:val="7AB85750"/>
    <w:lvl w:ilvl="0" w:tplc="E8F6CE16">
      <w:start w:val="1"/>
      <w:numFmt w:val="decimal"/>
      <w:lvlText w:val="%1."/>
      <w:lvlJc w:val="left"/>
      <w:pPr>
        <w:ind w:left="279" w:hanging="165"/>
      </w:pPr>
      <w:rPr>
        <w:rFonts w:hint="default"/>
        <w:b/>
        <w:bCs/>
        <w:spacing w:val="-3"/>
        <w:w w:val="100"/>
        <w:lang w:val="en-US" w:eastAsia="en-US" w:bidi="ar-SA"/>
      </w:rPr>
    </w:lvl>
    <w:lvl w:ilvl="1" w:tplc="DDFE0444">
      <w:numFmt w:val="bullet"/>
      <w:lvlText w:val="•"/>
      <w:lvlJc w:val="left"/>
      <w:pPr>
        <w:ind w:left="835" w:hanging="360"/>
      </w:pPr>
      <w:rPr>
        <w:rFonts w:hint="default"/>
        <w:w w:val="99"/>
        <w:lang w:val="en-US" w:eastAsia="en-US" w:bidi="ar-SA"/>
      </w:rPr>
    </w:lvl>
    <w:lvl w:ilvl="2" w:tplc="0CA43ACE">
      <w:numFmt w:val="bullet"/>
      <w:lvlText w:val="•"/>
      <w:lvlJc w:val="left"/>
      <w:pPr>
        <w:ind w:left="1882" w:hanging="360"/>
      </w:pPr>
      <w:rPr>
        <w:rFonts w:hint="default"/>
        <w:lang w:val="en-US" w:eastAsia="en-US" w:bidi="ar-SA"/>
      </w:rPr>
    </w:lvl>
    <w:lvl w:ilvl="3" w:tplc="74B0DF6A">
      <w:numFmt w:val="bullet"/>
      <w:lvlText w:val="•"/>
      <w:lvlJc w:val="left"/>
      <w:pPr>
        <w:ind w:left="2924" w:hanging="360"/>
      </w:pPr>
      <w:rPr>
        <w:rFonts w:hint="default"/>
        <w:lang w:val="en-US" w:eastAsia="en-US" w:bidi="ar-SA"/>
      </w:rPr>
    </w:lvl>
    <w:lvl w:ilvl="4" w:tplc="9CAAA774">
      <w:numFmt w:val="bullet"/>
      <w:lvlText w:val="•"/>
      <w:lvlJc w:val="left"/>
      <w:pPr>
        <w:ind w:left="3966" w:hanging="360"/>
      </w:pPr>
      <w:rPr>
        <w:rFonts w:hint="default"/>
        <w:lang w:val="en-US" w:eastAsia="en-US" w:bidi="ar-SA"/>
      </w:rPr>
    </w:lvl>
    <w:lvl w:ilvl="5" w:tplc="95600958">
      <w:numFmt w:val="bullet"/>
      <w:lvlText w:val="•"/>
      <w:lvlJc w:val="left"/>
      <w:pPr>
        <w:ind w:left="5008" w:hanging="360"/>
      </w:pPr>
      <w:rPr>
        <w:rFonts w:hint="default"/>
        <w:lang w:val="en-US" w:eastAsia="en-US" w:bidi="ar-SA"/>
      </w:rPr>
    </w:lvl>
    <w:lvl w:ilvl="6" w:tplc="AFF49C38">
      <w:numFmt w:val="bullet"/>
      <w:lvlText w:val="•"/>
      <w:lvlJc w:val="left"/>
      <w:pPr>
        <w:ind w:left="6051" w:hanging="360"/>
      </w:pPr>
      <w:rPr>
        <w:rFonts w:hint="default"/>
        <w:lang w:val="en-US" w:eastAsia="en-US" w:bidi="ar-SA"/>
      </w:rPr>
    </w:lvl>
    <w:lvl w:ilvl="7" w:tplc="7F9E6CBA">
      <w:numFmt w:val="bullet"/>
      <w:lvlText w:val="•"/>
      <w:lvlJc w:val="left"/>
      <w:pPr>
        <w:ind w:left="7093" w:hanging="360"/>
      </w:pPr>
      <w:rPr>
        <w:rFonts w:hint="default"/>
        <w:lang w:val="en-US" w:eastAsia="en-US" w:bidi="ar-SA"/>
      </w:rPr>
    </w:lvl>
    <w:lvl w:ilvl="8" w:tplc="800A8F92">
      <w:numFmt w:val="bullet"/>
      <w:lvlText w:val="•"/>
      <w:lvlJc w:val="left"/>
      <w:pPr>
        <w:ind w:left="8135" w:hanging="360"/>
      </w:pPr>
      <w:rPr>
        <w:rFonts w:hint="default"/>
        <w:lang w:val="en-US" w:eastAsia="en-US" w:bidi="ar-SA"/>
      </w:rPr>
    </w:lvl>
  </w:abstractNum>
  <w:abstractNum w:abstractNumId="1" w15:restartNumberingAfterBreak="0">
    <w:nsid w:val="282D6EFE"/>
    <w:multiLevelType w:val="hybridMultilevel"/>
    <w:tmpl w:val="ABF4219A"/>
    <w:lvl w:ilvl="0" w:tplc="56767E40">
      <w:start w:val="24"/>
      <w:numFmt w:val="decimal"/>
      <w:lvlText w:val="(%1)"/>
      <w:lvlJc w:val="left"/>
      <w:pPr>
        <w:ind w:left="115" w:hanging="423"/>
      </w:pPr>
      <w:rPr>
        <w:rFonts w:hint="default"/>
        <w:spacing w:val="-3"/>
        <w:w w:val="100"/>
        <w:lang w:val="en-US" w:eastAsia="en-US" w:bidi="ar-SA"/>
      </w:rPr>
    </w:lvl>
    <w:lvl w:ilvl="1" w:tplc="F6BE6156">
      <w:numFmt w:val="bullet"/>
      <w:lvlText w:val="•"/>
      <w:lvlJc w:val="left"/>
      <w:pPr>
        <w:ind w:left="1130" w:hanging="423"/>
      </w:pPr>
      <w:rPr>
        <w:rFonts w:hint="default"/>
        <w:lang w:val="en-US" w:eastAsia="en-US" w:bidi="ar-SA"/>
      </w:rPr>
    </w:lvl>
    <w:lvl w:ilvl="2" w:tplc="7B3E91C8">
      <w:numFmt w:val="bullet"/>
      <w:lvlText w:val="•"/>
      <w:lvlJc w:val="left"/>
      <w:pPr>
        <w:ind w:left="2140" w:hanging="423"/>
      </w:pPr>
      <w:rPr>
        <w:rFonts w:hint="default"/>
        <w:lang w:val="en-US" w:eastAsia="en-US" w:bidi="ar-SA"/>
      </w:rPr>
    </w:lvl>
    <w:lvl w:ilvl="3" w:tplc="2AB002C8">
      <w:numFmt w:val="bullet"/>
      <w:lvlText w:val="•"/>
      <w:lvlJc w:val="left"/>
      <w:pPr>
        <w:ind w:left="3150" w:hanging="423"/>
      </w:pPr>
      <w:rPr>
        <w:rFonts w:hint="default"/>
        <w:lang w:val="en-US" w:eastAsia="en-US" w:bidi="ar-SA"/>
      </w:rPr>
    </w:lvl>
    <w:lvl w:ilvl="4" w:tplc="F5D8F73A">
      <w:numFmt w:val="bullet"/>
      <w:lvlText w:val="•"/>
      <w:lvlJc w:val="left"/>
      <w:pPr>
        <w:ind w:left="4160" w:hanging="423"/>
      </w:pPr>
      <w:rPr>
        <w:rFonts w:hint="default"/>
        <w:lang w:val="en-US" w:eastAsia="en-US" w:bidi="ar-SA"/>
      </w:rPr>
    </w:lvl>
    <w:lvl w:ilvl="5" w:tplc="0B9013E0">
      <w:numFmt w:val="bullet"/>
      <w:lvlText w:val="•"/>
      <w:lvlJc w:val="left"/>
      <w:pPr>
        <w:ind w:left="5170" w:hanging="423"/>
      </w:pPr>
      <w:rPr>
        <w:rFonts w:hint="default"/>
        <w:lang w:val="en-US" w:eastAsia="en-US" w:bidi="ar-SA"/>
      </w:rPr>
    </w:lvl>
    <w:lvl w:ilvl="6" w:tplc="E8DE4FBE">
      <w:numFmt w:val="bullet"/>
      <w:lvlText w:val="•"/>
      <w:lvlJc w:val="left"/>
      <w:pPr>
        <w:ind w:left="6180" w:hanging="423"/>
      </w:pPr>
      <w:rPr>
        <w:rFonts w:hint="default"/>
        <w:lang w:val="en-US" w:eastAsia="en-US" w:bidi="ar-SA"/>
      </w:rPr>
    </w:lvl>
    <w:lvl w:ilvl="7" w:tplc="AD148C24">
      <w:numFmt w:val="bullet"/>
      <w:lvlText w:val="•"/>
      <w:lvlJc w:val="left"/>
      <w:pPr>
        <w:ind w:left="7190" w:hanging="423"/>
      </w:pPr>
      <w:rPr>
        <w:rFonts w:hint="default"/>
        <w:lang w:val="en-US" w:eastAsia="en-US" w:bidi="ar-SA"/>
      </w:rPr>
    </w:lvl>
    <w:lvl w:ilvl="8" w:tplc="B7304262">
      <w:numFmt w:val="bullet"/>
      <w:lvlText w:val="•"/>
      <w:lvlJc w:val="left"/>
      <w:pPr>
        <w:ind w:left="8200" w:hanging="423"/>
      </w:pPr>
      <w:rPr>
        <w:rFonts w:hint="default"/>
        <w:lang w:val="en-US" w:eastAsia="en-US" w:bidi="ar-SA"/>
      </w:rPr>
    </w:lvl>
  </w:abstractNum>
  <w:abstractNum w:abstractNumId="2" w15:restartNumberingAfterBreak="0">
    <w:nsid w:val="7E512DC4"/>
    <w:multiLevelType w:val="hybridMultilevel"/>
    <w:tmpl w:val="FE4E8BBC"/>
    <w:lvl w:ilvl="0" w:tplc="400A3C34">
      <w:start w:val="1"/>
      <w:numFmt w:val="decimal"/>
      <w:lvlText w:val="(%1)"/>
      <w:lvlJc w:val="left"/>
      <w:pPr>
        <w:ind w:left="115" w:hanging="312"/>
      </w:pPr>
      <w:rPr>
        <w:rFonts w:hint="default"/>
        <w:spacing w:val="-2"/>
        <w:w w:val="100"/>
        <w:lang w:val="en-US" w:eastAsia="en-US" w:bidi="ar-SA"/>
      </w:rPr>
    </w:lvl>
    <w:lvl w:ilvl="1" w:tplc="E5905808">
      <w:numFmt w:val="bullet"/>
      <w:lvlText w:val="•"/>
      <w:lvlJc w:val="left"/>
      <w:pPr>
        <w:ind w:left="1130" w:hanging="312"/>
      </w:pPr>
      <w:rPr>
        <w:rFonts w:hint="default"/>
        <w:lang w:val="en-US" w:eastAsia="en-US" w:bidi="ar-SA"/>
      </w:rPr>
    </w:lvl>
    <w:lvl w:ilvl="2" w:tplc="AF90D406">
      <w:numFmt w:val="bullet"/>
      <w:lvlText w:val="•"/>
      <w:lvlJc w:val="left"/>
      <w:pPr>
        <w:ind w:left="2140" w:hanging="312"/>
      </w:pPr>
      <w:rPr>
        <w:rFonts w:hint="default"/>
        <w:lang w:val="en-US" w:eastAsia="en-US" w:bidi="ar-SA"/>
      </w:rPr>
    </w:lvl>
    <w:lvl w:ilvl="3" w:tplc="9816056C">
      <w:numFmt w:val="bullet"/>
      <w:lvlText w:val="•"/>
      <w:lvlJc w:val="left"/>
      <w:pPr>
        <w:ind w:left="3150" w:hanging="312"/>
      </w:pPr>
      <w:rPr>
        <w:rFonts w:hint="default"/>
        <w:lang w:val="en-US" w:eastAsia="en-US" w:bidi="ar-SA"/>
      </w:rPr>
    </w:lvl>
    <w:lvl w:ilvl="4" w:tplc="38A68C3E">
      <w:numFmt w:val="bullet"/>
      <w:lvlText w:val="•"/>
      <w:lvlJc w:val="left"/>
      <w:pPr>
        <w:ind w:left="4160" w:hanging="312"/>
      </w:pPr>
      <w:rPr>
        <w:rFonts w:hint="default"/>
        <w:lang w:val="en-US" w:eastAsia="en-US" w:bidi="ar-SA"/>
      </w:rPr>
    </w:lvl>
    <w:lvl w:ilvl="5" w:tplc="ACF23E7E">
      <w:numFmt w:val="bullet"/>
      <w:lvlText w:val="•"/>
      <w:lvlJc w:val="left"/>
      <w:pPr>
        <w:ind w:left="5170" w:hanging="312"/>
      </w:pPr>
      <w:rPr>
        <w:rFonts w:hint="default"/>
        <w:lang w:val="en-US" w:eastAsia="en-US" w:bidi="ar-SA"/>
      </w:rPr>
    </w:lvl>
    <w:lvl w:ilvl="6" w:tplc="BC86FF7A">
      <w:numFmt w:val="bullet"/>
      <w:lvlText w:val="•"/>
      <w:lvlJc w:val="left"/>
      <w:pPr>
        <w:ind w:left="6180" w:hanging="312"/>
      </w:pPr>
      <w:rPr>
        <w:rFonts w:hint="default"/>
        <w:lang w:val="en-US" w:eastAsia="en-US" w:bidi="ar-SA"/>
      </w:rPr>
    </w:lvl>
    <w:lvl w:ilvl="7" w:tplc="856260F8">
      <w:numFmt w:val="bullet"/>
      <w:lvlText w:val="•"/>
      <w:lvlJc w:val="left"/>
      <w:pPr>
        <w:ind w:left="7190" w:hanging="312"/>
      </w:pPr>
      <w:rPr>
        <w:rFonts w:hint="default"/>
        <w:lang w:val="en-US" w:eastAsia="en-US" w:bidi="ar-SA"/>
      </w:rPr>
    </w:lvl>
    <w:lvl w:ilvl="8" w:tplc="60F2B93E">
      <w:numFmt w:val="bullet"/>
      <w:lvlText w:val="•"/>
      <w:lvlJc w:val="left"/>
      <w:pPr>
        <w:ind w:left="8200" w:hanging="312"/>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46"/>
    <w:rsid w:val="000070BB"/>
    <w:rsid w:val="00020A36"/>
    <w:rsid w:val="000427BD"/>
    <w:rsid w:val="00103601"/>
    <w:rsid w:val="00174294"/>
    <w:rsid w:val="002F028F"/>
    <w:rsid w:val="003D1932"/>
    <w:rsid w:val="00494520"/>
    <w:rsid w:val="004A62CA"/>
    <w:rsid w:val="004E32ED"/>
    <w:rsid w:val="00515173"/>
    <w:rsid w:val="00596234"/>
    <w:rsid w:val="005D0FF8"/>
    <w:rsid w:val="00636072"/>
    <w:rsid w:val="0065146C"/>
    <w:rsid w:val="006D584A"/>
    <w:rsid w:val="007178EF"/>
    <w:rsid w:val="00750DB7"/>
    <w:rsid w:val="008A13C3"/>
    <w:rsid w:val="0090671D"/>
    <w:rsid w:val="00931338"/>
    <w:rsid w:val="00940546"/>
    <w:rsid w:val="00A00516"/>
    <w:rsid w:val="00A23025"/>
    <w:rsid w:val="00A665E7"/>
    <w:rsid w:val="00A920EF"/>
    <w:rsid w:val="00AE0A1B"/>
    <w:rsid w:val="00B400C2"/>
    <w:rsid w:val="00C3144A"/>
    <w:rsid w:val="00CB08FC"/>
    <w:rsid w:val="00D578EE"/>
    <w:rsid w:val="00DE59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A835C"/>
  <w15:chartTrackingRefBased/>
  <w15:docId w15:val="{2EE60CE3-9AC8-412C-8DCF-319B8ABE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546"/>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940546"/>
    <w:pPr>
      <w:ind w:left="279" w:hanging="16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546"/>
    <w:rPr>
      <w:rFonts w:ascii="Times New Roman" w:eastAsia="Times New Roman" w:hAnsi="Times New Roman" w:cs="Times New Roman"/>
      <w:b/>
      <w:bCs/>
      <w:lang w:val="en-US"/>
    </w:rPr>
  </w:style>
  <w:style w:type="paragraph" w:styleId="BodyText">
    <w:name w:val="Body Text"/>
    <w:basedOn w:val="Normal"/>
    <w:link w:val="BodyTextChar"/>
    <w:uiPriority w:val="1"/>
    <w:qFormat/>
    <w:rsid w:val="00940546"/>
  </w:style>
  <w:style w:type="character" w:customStyle="1" w:styleId="BodyTextChar">
    <w:name w:val="Body Text Char"/>
    <w:basedOn w:val="DefaultParagraphFont"/>
    <w:link w:val="BodyText"/>
    <w:uiPriority w:val="1"/>
    <w:rsid w:val="00940546"/>
    <w:rPr>
      <w:rFonts w:ascii="Times New Roman" w:eastAsia="Times New Roman" w:hAnsi="Times New Roman" w:cs="Times New Roman"/>
      <w:lang w:val="en-US"/>
    </w:rPr>
  </w:style>
  <w:style w:type="paragraph" w:styleId="Title">
    <w:name w:val="Title"/>
    <w:basedOn w:val="Normal"/>
    <w:link w:val="TitleChar"/>
    <w:uiPriority w:val="10"/>
    <w:qFormat/>
    <w:rsid w:val="00940546"/>
    <w:pPr>
      <w:ind w:left="115"/>
    </w:pPr>
    <w:rPr>
      <w:rFonts w:ascii="Arial" w:eastAsia="Arial" w:hAnsi="Arial" w:cs="Arial"/>
      <w:sz w:val="56"/>
      <w:szCs w:val="56"/>
    </w:rPr>
  </w:style>
  <w:style w:type="character" w:customStyle="1" w:styleId="TitleChar">
    <w:name w:val="Title Char"/>
    <w:basedOn w:val="DefaultParagraphFont"/>
    <w:link w:val="Title"/>
    <w:uiPriority w:val="10"/>
    <w:rsid w:val="00940546"/>
    <w:rPr>
      <w:rFonts w:ascii="Arial" w:eastAsia="Arial" w:hAnsi="Arial" w:cs="Arial"/>
      <w:sz w:val="56"/>
      <w:szCs w:val="56"/>
      <w:lang w:val="en-US"/>
    </w:rPr>
  </w:style>
  <w:style w:type="paragraph" w:styleId="ListParagraph">
    <w:name w:val="List Paragraph"/>
    <w:basedOn w:val="Normal"/>
    <w:uiPriority w:val="1"/>
    <w:qFormat/>
    <w:rsid w:val="00940546"/>
    <w:pPr>
      <w:ind w:left="115"/>
    </w:pPr>
  </w:style>
  <w:style w:type="paragraph" w:customStyle="1" w:styleId="TableParagraph">
    <w:name w:val="Table Paragraph"/>
    <w:basedOn w:val="Normal"/>
    <w:uiPriority w:val="1"/>
    <w:qFormat/>
    <w:rsid w:val="00940546"/>
    <w:pPr>
      <w:spacing w:before="39"/>
      <w:ind w:left="23"/>
      <w:jc w:val="center"/>
    </w:pPr>
  </w:style>
  <w:style w:type="character" w:styleId="Hyperlink">
    <w:name w:val="Hyperlink"/>
    <w:basedOn w:val="DefaultParagraphFont"/>
    <w:uiPriority w:val="99"/>
    <w:unhideWhenUsed/>
    <w:rsid w:val="00A23025"/>
    <w:rPr>
      <w:color w:val="0563C1" w:themeColor="hyperlink"/>
      <w:u w:val="single"/>
    </w:rPr>
  </w:style>
  <w:style w:type="character" w:customStyle="1" w:styleId="UnresolvedMention">
    <w:name w:val="Unresolved Mention"/>
    <w:basedOn w:val="DefaultParagraphFont"/>
    <w:uiPriority w:val="99"/>
    <w:semiHidden/>
    <w:unhideWhenUsed/>
    <w:rsid w:val="00A23025"/>
    <w:rPr>
      <w:color w:val="605E5C"/>
      <w:shd w:val="clear" w:color="auto" w:fill="E1DFDD"/>
    </w:rPr>
  </w:style>
  <w:style w:type="character" w:styleId="Emphasis">
    <w:name w:val="Emphasis"/>
    <w:basedOn w:val="DefaultParagraphFont"/>
    <w:uiPriority w:val="20"/>
    <w:qFormat/>
    <w:rsid w:val="002F02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457575">
      <w:bodyDiv w:val="1"/>
      <w:marLeft w:val="0"/>
      <w:marRight w:val="0"/>
      <w:marTop w:val="0"/>
      <w:marBottom w:val="0"/>
      <w:divBdr>
        <w:top w:val="none" w:sz="0" w:space="0" w:color="auto"/>
        <w:left w:val="none" w:sz="0" w:space="0" w:color="auto"/>
        <w:bottom w:val="none" w:sz="0" w:space="0" w:color="auto"/>
        <w:right w:val="none" w:sz="0" w:space="0" w:color="auto"/>
      </w:divBdr>
      <w:divsChild>
        <w:div w:id="2075083223">
          <w:marLeft w:val="0"/>
          <w:marRight w:val="0"/>
          <w:marTop w:val="0"/>
          <w:marBottom w:val="0"/>
          <w:divBdr>
            <w:top w:val="none" w:sz="0" w:space="0" w:color="auto"/>
            <w:left w:val="none" w:sz="0" w:space="0" w:color="auto"/>
            <w:bottom w:val="none" w:sz="0" w:space="0" w:color="auto"/>
            <w:right w:val="none" w:sz="0" w:space="0" w:color="auto"/>
          </w:divBdr>
        </w:div>
        <w:div w:id="991330262">
          <w:marLeft w:val="0"/>
          <w:marRight w:val="0"/>
          <w:marTop w:val="0"/>
          <w:marBottom w:val="0"/>
          <w:divBdr>
            <w:top w:val="none" w:sz="0" w:space="0" w:color="auto"/>
            <w:left w:val="none" w:sz="0" w:space="0" w:color="auto"/>
            <w:bottom w:val="none" w:sz="0" w:space="0" w:color="auto"/>
            <w:right w:val="none" w:sz="0" w:space="0" w:color="auto"/>
          </w:divBdr>
          <w:divsChild>
            <w:div w:id="176857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13</Pages>
  <Words>3915</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Kumar</dc:creator>
  <cp:keywords/>
  <dc:description/>
  <cp:lastModifiedBy>Admin</cp:lastModifiedBy>
  <cp:revision>15</cp:revision>
  <dcterms:created xsi:type="dcterms:W3CDTF">2021-11-29T05:44:00Z</dcterms:created>
  <dcterms:modified xsi:type="dcterms:W3CDTF">2021-11-29T10:43:00Z</dcterms:modified>
</cp:coreProperties>
</file>